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FF0000"/>
          <w:sz w:val="44"/>
        </w:rPr>
      </w:pPr>
      <w:r>
        <w:rPr>
          <w:rFonts w:eastAsia="黑体"/>
          <w:color w:val="FF0000"/>
          <w:sz w:val="44"/>
        </w:rPr>
        <w:t>中国证券监督管理委员会</w:t>
      </w:r>
      <w:r>
        <w:rPr>
          <w:rFonts w:hint="eastAsia" w:eastAsia="黑体"/>
          <w:color w:val="FF0000"/>
          <w:sz w:val="44"/>
        </w:rPr>
        <w:t>江西监管局</w:t>
      </w:r>
    </w:p>
    <w:p>
      <w:pPr>
        <w:jc w:val="center"/>
        <w:rPr>
          <w:rFonts w:eastAsia="华文中宋"/>
          <w:b/>
          <w:color w:val="FF0000"/>
          <w:spacing w:val="-50"/>
          <w:sz w:val="72"/>
        </w:rPr>
      </w:pPr>
      <w:r>
        <w:rPr>
          <w:rFonts w:eastAsia="华文中宋"/>
          <w:b/>
          <w:color w:val="FF0000"/>
          <w:spacing w:val="-50"/>
          <w:sz w:val="72"/>
        </w:rPr>
        <w:t>行 政 监 管 措 施 决 定 书</w:t>
      </w:r>
    </w:p>
    <w:p>
      <w:pPr>
        <w:jc w:val="center"/>
        <w:rPr>
          <w:rFonts w:eastAsia="仿宋_GB2312"/>
          <w:sz w:val="30"/>
        </w:rPr>
      </w:pPr>
    </w:p>
    <w:p>
      <w:pPr>
        <w:jc w:val="center"/>
        <w:rPr>
          <w:rFonts w:eastAsia="华文中宋"/>
          <w:b/>
          <w:sz w:val="52"/>
        </w:rPr>
      </w:pPr>
      <w:r>
        <w:rPr>
          <w:rFonts w:hint="eastAsia" w:eastAsia="仿宋_GB2312"/>
          <w:sz w:val="30"/>
        </w:rPr>
        <w:t>〔202</w:t>
      </w:r>
      <w:r>
        <w:rPr>
          <w:rFonts w:hint="eastAsia" w:eastAsia="仿宋_GB2312"/>
          <w:sz w:val="30"/>
          <w:lang w:val="en-US" w:eastAsia="zh-CN"/>
        </w:rPr>
        <w:t>6</w:t>
      </w:r>
      <w:r>
        <w:rPr>
          <w:rFonts w:hint="eastAsia" w:eastAsia="仿宋_GB2312"/>
          <w:sz w:val="30"/>
        </w:rPr>
        <w:t>〕</w:t>
      </w:r>
      <w:r>
        <w:rPr>
          <w:rFonts w:hint="eastAsia" w:eastAsia="仿宋_GB2312"/>
          <w:sz w:val="30"/>
          <w:lang w:val="en-US" w:eastAsia="zh-CN"/>
        </w:rPr>
        <w:t>5</w:t>
      </w:r>
      <w:r>
        <w:rPr>
          <w:rFonts w:hint="eastAsia" w:eastAsia="仿宋_GB2312"/>
          <w:sz w:val="30"/>
        </w:rPr>
        <w:t>号</w:t>
      </w:r>
    </w:p>
    <w:p>
      <w:pPr>
        <w:rPr>
          <w:rFonts w:eastAsia="仿宋_GB2312"/>
          <w:sz w:val="30"/>
          <w:u w:val="single"/>
        </w:rPr>
      </w:pPr>
      <w:r>
        <w:rPr>
          <w:rFonts w:eastAsia="仿宋_GB2312"/>
          <w:color w:val="FF0000"/>
          <w:sz w:val="30"/>
          <w:u w:val="single"/>
        </w:rPr>
        <w:t xml:space="preserve">                                                        </w:t>
      </w:r>
    </w:p>
    <w:p>
      <w:pPr>
        <w:jc w:val="center"/>
        <w:rPr>
          <w:rFonts w:eastAsia="仿宋_GB2312"/>
          <w:sz w:val="30"/>
        </w:rPr>
      </w:pPr>
    </w:p>
    <w:p>
      <w:pPr>
        <w:pStyle w:val="3"/>
        <w:adjustRightInd w:val="0"/>
        <w:snapToGrid w:val="0"/>
        <w:spacing w:before="0" w:beforeLines="0" w:beforeAutospacing="0" w:after="0" w:afterLines="0" w:afterAutospacing="0" w:line="240" w:lineRule="auto"/>
        <w:jc w:val="center"/>
        <w:rPr>
          <w:rFonts w:hint="eastAsia" w:ascii="宋体" w:hAnsi="宋体" w:eastAsia="宋体"/>
          <w:sz w:val="44"/>
        </w:rPr>
      </w:pPr>
      <w:r>
        <w:rPr>
          <w:rFonts w:hint="eastAsia" w:ascii="宋体" w:hAnsi="宋体" w:eastAsia="宋体"/>
          <w:sz w:val="44"/>
        </w:rPr>
        <w:t>关于对</w:t>
      </w:r>
      <w:r>
        <w:rPr>
          <w:rFonts w:hint="eastAsia" w:ascii="宋体" w:hAnsi="宋体" w:eastAsia="宋体"/>
          <w:sz w:val="44"/>
          <w:lang w:eastAsia="zh-CN"/>
        </w:rPr>
        <w:t>陈南平</w:t>
      </w:r>
      <w:r>
        <w:rPr>
          <w:rFonts w:hint="eastAsia" w:ascii="宋体" w:hAnsi="宋体" w:eastAsia="宋体"/>
          <w:sz w:val="44"/>
        </w:rPr>
        <w:t>采取</w:t>
      </w:r>
      <w:r>
        <w:rPr>
          <w:rFonts w:hint="eastAsia" w:ascii="宋体" w:hAnsi="宋体" w:eastAsia="宋体"/>
          <w:sz w:val="44"/>
          <w:lang w:eastAsia="zh-CN"/>
        </w:rPr>
        <w:t>出具警示函</w:t>
      </w:r>
      <w:r>
        <w:rPr>
          <w:rFonts w:hint="eastAsia" w:ascii="宋体" w:hAnsi="宋体" w:eastAsia="宋体"/>
          <w:sz w:val="44"/>
        </w:rPr>
        <w:t>措施的决定</w:t>
      </w:r>
    </w:p>
    <w:p>
      <w:pPr>
        <w:adjustRightInd w:val="0"/>
        <w:snapToGrid w:val="0"/>
        <w:spacing w:line="360" w:lineRule="auto"/>
        <w:jc w:val="center"/>
        <w:rPr>
          <w:rFonts w:eastAsia="仿宋_GB2312"/>
          <w:sz w:val="30"/>
        </w:rPr>
      </w:pPr>
    </w:p>
    <w:p>
      <w:pPr>
        <w:bidi w:val="0"/>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陈南平：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24"/>
          <w:lang w:val="en-US" w:eastAsia="zh-CN" w:bidi="ar-SA"/>
        </w:rPr>
      </w:pPr>
      <w:r>
        <w:rPr>
          <w:rFonts w:hint="eastAsia" w:ascii="仿宋_GB2312" w:hAnsi="仿宋_GB2312" w:eastAsia="仿宋_GB2312" w:cs="仿宋_GB2312"/>
          <w:sz w:val="32"/>
          <w:szCs w:val="24"/>
          <w:lang w:val="en-US" w:eastAsia="zh-CN" w:bidi="ar-SA"/>
        </w:rPr>
        <w:t>经查，共青城磐石投资管理合伙企业（有限合伙）存在以下问题：</w:t>
      </w:r>
      <w:r>
        <w:rPr>
          <w:rFonts w:hint="eastAsia" w:ascii="仿宋_GB2312" w:hAnsi="仿宋_GB2312" w:eastAsia="仿宋_GB2312" w:cs="仿宋_GB2312"/>
          <w:sz w:val="32"/>
          <w:szCs w:val="32"/>
          <w:lang w:val="en-US" w:eastAsia="zh-CN"/>
        </w:rPr>
        <w:t>私募基金企业变更登记不及时、未按规定向中国证券投资基金业协会报送信息、未按规定向投资者披露信息、未按合同约定运作</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投资者适当性管理不到位、未妥善保存基金资料、不同投资者签订的合伙协议存在差异等。</w:t>
      </w:r>
      <w:r>
        <w:rPr>
          <w:rFonts w:hint="eastAsia" w:ascii="仿宋_GB2312" w:hAnsi="仿宋_GB2312" w:eastAsia="仿宋_GB2312" w:cs="仿宋_GB2312"/>
          <w:color w:val="000000"/>
          <w:sz w:val="32"/>
          <w:szCs w:val="24"/>
          <w:lang w:val="en-US" w:eastAsia="zh-CN" w:bidi="ar-SA"/>
        </w:rPr>
        <w:t>上述行为违反了《私募投资基金监督管理暂行办法》（证监会令第105号）</w:t>
      </w:r>
      <w:r>
        <w:rPr>
          <w:rFonts w:hint="eastAsia" w:ascii="仿宋_GB2312" w:eastAsia="仿宋_GB2312"/>
          <w:b w:val="0"/>
          <w:bCs w:val="0"/>
          <w:color w:val="auto"/>
          <w:sz w:val="32"/>
          <w:szCs w:val="32"/>
          <w:lang w:val="en-US" w:eastAsia="zh-CN"/>
        </w:rPr>
        <w:t>第四条第一款、第十三条第二款、第十六条第一款、第二十四条、</w:t>
      </w:r>
      <w:r>
        <w:rPr>
          <w:rFonts w:hint="eastAsia" w:ascii="仿宋_GB2312" w:hAnsi="仿宋_GB2312" w:eastAsia="仿宋_GB2312" w:cs="仿宋_GB2312"/>
          <w:color w:val="000000"/>
          <w:sz w:val="32"/>
          <w:szCs w:val="24"/>
          <w:lang w:val="en-US" w:eastAsia="zh-CN" w:bidi="ar-SA"/>
        </w:rPr>
        <w:t>第二十五条第一款、</w:t>
      </w:r>
      <w:r>
        <w:rPr>
          <w:rFonts w:hint="eastAsia" w:ascii="仿宋_GB2312" w:eastAsia="仿宋_GB2312"/>
          <w:b w:val="0"/>
          <w:bCs w:val="0"/>
          <w:color w:val="auto"/>
          <w:sz w:val="32"/>
          <w:szCs w:val="32"/>
          <w:lang w:val="en-US" w:eastAsia="zh-CN"/>
        </w:rPr>
        <w:t>第二十六条</w:t>
      </w:r>
      <w:r>
        <w:rPr>
          <w:rFonts w:hint="eastAsia" w:ascii="仿宋_GB2312" w:hAnsi="仿宋_GB2312" w:eastAsia="仿宋_GB2312" w:cs="仿宋_GB2312"/>
          <w:color w:val="000000"/>
          <w:sz w:val="32"/>
          <w:szCs w:val="24"/>
          <w:lang w:val="en-US" w:eastAsia="zh-CN" w:bidi="ar-SA"/>
        </w:rPr>
        <w:t>的规定，</w:t>
      </w:r>
      <w:r>
        <w:rPr>
          <w:rFonts w:hint="eastAsia" w:ascii="仿宋_GB2312" w:eastAsia="仿宋_GB2312"/>
          <w:b w:val="0"/>
          <w:bCs w:val="0"/>
          <w:color w:val="auto"/>
          <w:sz w:val="32"/>
          <w:szCs w:val="32"/>
          <w:lang w:val="en-US" w:eastAsia="zh-CN"/>
        </w:rPr>
        <w:t>《关于加强私募投资基金监管的若干规定》（证监会公告〔2020〕71号）第九条第一款第五项及第八项的规定</w:t>
      </w:r>
      <w:r>
        <w:rPr>
          <w:rFonts w:hint="eastAsia" w:ascii="仿宋_GB2312" w:hAnsi="仿宋_GB2312" w:eastAsia="仿宋_GB2312" w:cs="仿宋_GB2312"/>
          <w:color w:val="000000"/>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24"/>
          <w:lang w:val="en-US" w:eastAsia="zh-CN" w:bidi="ar-SA"/>
        </w:rPr>
      </w:pPr>
      <w:r>
        <w:rPr>
          <w:rFonts w:hint="eastAsia" w:ascii="仿宋_GB2312" w:eastAsia="仿宋_GB2312"/>
          <w:sz w:val="32"/>
          <w:szCs w:val="32"/>
          <w:lang w:val="en-US" w:eastAsia="zh-CN"/>
        </w:rPr>
        <w:t>你作为</w:t>
      </w:r>
      <w:r>
        <w:rPr>
          <w:rFonts w:hint="eastAsia" w:ascii="仿宋_GB2312" w:hAnsi="仿宋_GB2312" w:eastAsia="仿宋_GB2312" w:cs="仿宋_GB2312"/>
          <w:sz w:val="32"/>
          <w:szCs w:val="24"/>
          <w:lang w:val="en-US" w:eastAsia="zh-CN" w:bidi="ar-SA"/>
        </w:rPr>
        <w:t>共青城磐石投资管理合伙企业（有限合伙）执行事务合伙人（委派代表）</w:t>
      </w:r>
      <w:r>
        <w:rPr>
          <w:rFonts w:hint="eastAsia" w:ascii="仿宋_GB2312" w:eastAsia="仿宋_GB2312"/>
          <w:sz w:val="32"/>
          <w:szCs w:val="32"/>
          <w:lang w:val="en-US" w:eastAsia="zh-CN"/>
        </w:rPr>
        <w:t>、负责人，对上述违规行为负有责任，违反了</w:t>
      </w:r>
      <w:r>
        <w:rPr>
          <w:rFonts w:hint="eastAsia" w:ascii="仿宋_GB2312" w:hAnsi="仿宋_GB2312" w:eastAsia="仿宋_GB2312" w:cs="仿宋_GB2312"/>
          <w:color w:val="000000"/>
          <w:sz w:val="32"/>
          <w:szCs w:val="24"/>
          <w:lang w:val="en-US" w:eastAsia="zh-CN" w:bidi="ar-SA"/>
        </w:rPr>
        <w:t>《私募投资基金监督管理暂行办法》第四条第二款的规定</w:t>
      </w:r>
      <w:r>
        <w:rPr>
          <w:rFonts w:hint="eastAsia" w:ascii="仿宋_GB2312" w:eastAsia="仿宋_GB2312"/>
          <w:sz w:val="32"/>
          <w:szCs w:val="32"/>
          <w:lang w:val="en-US" w:eastAsia="zh-CN"/>
        </w:rPr>
        <w:t>。</w:t>
      </w:r>
      <w:r>
        <w:rPr>
          <w:rFonts w:hint="eastAsia" w:ascii="仿宋_GB2312" w:hAnsi="仿宋_GB2312" w:eastAsia="仿宋_GB2312" w:cs="仿宋_GB2312"/>
          <w:b w:val="0"/>
          <w:bCs w:val="0"/>
          <w:sz w:val="32"/>
          <w:szCs w:val="32"/>
          <w:lang w:val="en-US" w:eastAsia="zh-CN"/>
        </w:rPr>
        <w:t>根据《私募投资基金监督管理暂行办法》第三十三条的相关规定</w:t>
      </w:r>
      <w:r>
        <w:rPr>
          <w:rFonts w:hint="eastAsia" w:ascii="仿宋_GB2312" w:hAnsi="仿宋_GB2312" w:eastAsia="仿宋_GB2312" w:cs="仿宋_GB2312"/>
          <w:sz w:val="32"/>
          <w:szCs w:val="24"/>
          <w:lang w:val="en-US" w:eastAsia="zh-CN" w:bidi="ar-SA"/>
        </w:rPr>
        <w:t>，我局决定对你采取出具警示函的行政监管措施并记入证券期货市场诚信档案。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你应当加强有关法律法规和行业自律规则的学习，增强合规守法意识，恪守职业道德和行为规范，维护投资者合法权益。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如对本监督管理措施不服，可在收到本决定书之日起60日内向中国证券监督管理委员会提出行政复议申请，也可以在收到本决定书之日起6个月内向有管辖权的人民法院提起诉讼。复议与诉讼期间，上述监督管理措施不停止执行。</w:t>
      </w:r>
    </w:p>
    <w:p>
      <w:pPr>
        <w:bidi w:val="0"/>
        <w:rPr>
          <w:rFonts w:hint="eastAsia" w:ascii="仿宋_GB2312" w:hAnsi="仿宋_GB2312" w:eastAsia="仿宋_GB2312" w:cs="仿宋_GB2312"/>
          <w:sz w:val="32"/>
          <w:szCs w:val="24"/>
          <w:lang w:val="en-US" w:eastAsia="zh-CN" w:bidi="ar-SA"/>
        </w:rPr>
      </w:pPr>
    </w:p>
    <w:p>
      <w:pPr>
        <w:bidi w:val="0"/>
        <w:ind w:firstLine="640" w:firstLineChars="200"/>
        <w:jc w:val="center"/>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 xml:space="preserve">                               江西证监局</w:t>
      </w:r>
    </w:p>
    <w:p>
      <w:pPr>
        <w:bidi w:val="0"/>
        <w:ind w:firstLine="640" w:firstLineChars="200"/>
        <w:jc w:val="center"/>
        <w:rPr>
          <w:rFonts w:hint="eastAsia" w:ascii="仿宋_GB2312" w:hAnsi="仿宋_GB2312" w:eastAsia="仿宋_GB2312" w:cs="仿宋_GB2312"/>
          <w:sz w:val="32"/>
          <w:szCs w:val="24"/>
          <w:lang w:val="en-US" w:eastAsia="zh-CN" w:bidi="ar-SA"/>
        </w:rPr>
      </w:pPr>
      <w:r>
        <w:rPr>
          <w:rFonts w:hint="default" w:ascii="仿宋_GB2312" w:hAnsi="仿宋_GB2312" w:eastAsia="仿宋_GB2312" w:cs="仿宋_GB2312"/>
          <w:sz w:val="32"/>
          <w:szCs w:val="24"/>
          <w:lang w:val="en-US" w:eastAsia="zh-CN" w:bidi="ar-SA"/>
        </w:rPr>
        <w:t xml:space="preserve">                                </w:t>
      </w:r>
      <w:r>
        <w:rPr>
          <w:rFonts w:hint="eastAsia" w:ascii="仿宋_GB2312" w:hAnsi="仿宋_GB2312" w:eastAsia="仿宋_GB2312" w:cs="仿宋_GB2312"/>
          <w:sz w:val="32"/>
          <w:szCs w:val="24"/>
          <w:lang w:val="en-US" w:eastAsia="zh-CN" w:bidi="ar-SA"/>
        </w:rPr>
        <w:t>2026年</w:t>
      </w:r>
      <w:r>
        <w:rPr>
          <w:rFonts w:hint="default" w:ascii="仿宋_GB2312" w:hAnsi="仿宋_GB2312" w:eastAsia="仿宋_GB2312" w:cs="仿宋_GB2312"/>
          <w:sz w:val="32"/>
          <w:szCs w:val="24"/>
          <w:lang w:val="en" w:eastAsia="zh-CN" w:bidi="ar-SA"/>
        </w:rPr>
        <w:t>4</w:t>
      </w:r>
      <w:r>
        <w:rPr>
          <w:rFonts w:hint="eastAsia" w:ascii="仿宋_GB2312" w:hAnsi="仿宋_GB2312" w:eastAsia="仿宋_GB2312" w:cs="仿宋_GB2312"/>
          <w:sz w:val="32"/>
          <w:szCs w:val="24"/>
          <w:lang w:val="en-US" w:eastAsia="zh-CN" w:bidi="ar-SA"/>
        </w:rPr>
        <w:t>月7日</w:t>
      </w:r>
    </w:p>
    <w:p>
      <w:pPr>
        <w:adjustRightInd w:val="0"/>
        <w:snapToGrid w:val="0"/>
        <w:spacing w:line="360" w:lineRule="auto"/>
        <w:rPr>
          <w:rFonts w:eastAsia="仿宋_GB2312"/>
          <w:sz w:val="30"/>
        </w:rPr>
      </w:pPr>
    </w:p>
    <w:p>
      <w:pPr>
        <w:pStyle w:val="2"/>
      </w:pPr>
    </w:p>
    <w:p>
      <w:pPr>
        <w:adjustRightInd w:val="0"/>
        <w:snapToGrid w:val="0"/>
        <w:spacing w:line="14" w:lineRule="exact"/>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FE871"/>
    <w:rsid w:val="1ADF7AED"/>
    <w:rsid w:val="757FE871"/>
    <w:rsid w:val="7DFA5BEA"/>
    <w:rsid w:val="FF7D5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黑体_GBK"/>
      <w:b/>
      <w:kern w:val="44"/>
      <w:sz w:val="36"/>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2026-04-03T03:37:00Z</dcterms:created>
  <dc:creator>曾永芳</dc:creator>
  <cp:lastModifiedBy>uos</cp:lastModifiedBy>
  <dcterms:modified xsi:type="dcterms:W3CDTF">2026-04-13T10:57:02Z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BAD9FF0D43875D78697BD469C43DA024</vt:lpwstr>
  </property>
</Properties>
</file>