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eastAsia="zh-CN"/>
        </w:rPr>
        <w:t>58</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AV8uZj/QEAAPUDAAAO&#10;AAAAAAAAAAEAIAAAADsBAABkcnMvZTJvRG9jLnhtbFBLAQIUABQAAAAIAIdO4kDML7WS1gAAAAgB&#10;AAAPAAAAAAAAAAEAIAAAADgAAABkcnMvZG93bnJldi54bWxQSwECFAAKAAAAAACHTuJAAAAAAAAA&#10;AAAAAAAABAAAAAAAAAAAABAAAAAWAAAAZHJ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8"/>
          <w:highlight w:val="none"/>
          <w:lang w:eastAsia="zh-CN"/>
        </w:rPr>
      </w:pPr>
      <w:bookmarkStart w:id="1" w:name="_GoBack"/>
      <w:bookmarkStart w:id="0" w:name="quanwen"/>
      <w:r>
        <w:rPr>
          <w:rFonts w:hint="eastAsia" w:ascii="方正小标宋简体" w:hAnsi="方正小标宋简体" w:eastAsia="方正小标宋简体" w:cs="方正小标宋简体"/>
          <w:spacing w:val="0"/>
          <w:sz w:val="44"/>
          <w:szCs w:val="48"/>
          <w:highlight w:val="none"/>
        </w:rPr>
        <w:t>关于对</w:t>
      </w:r>
      <w:r>
        <w:rPr>
          <w:rFonts w:hint="eastAsia" w:ascii="方正小标宋简体" w:hAnsi="方正小标宋简体" w:eastAsia="方正小标宋简体" w:cs="方正小标宋简体"/>
          <w:spacing w:val="0"/>
          <w:sz w:val="44"/>
          <w:szCs w:val="48"/>
          <w:highlight w:val="none"/>
          <w:lang w:eastAsia="zh-CN"/>
        </w:rPr>
        <w:t>慧研智投科技</w:t>
      </w:r>
      <w:r>
        <w:rPr>
          <w:rFonts w:hint="eastAsia" w:ascii="方正小标宋简体" w:hAnsi="方正小标宋简体" w:eastAsia="方正小标宋简体" w:cs="方正小标宋简体"/>
          <w:spacing w:val="0"/>
          <w:sz w:val="44"/>
          <w:szCs w:val="48"/>
          <w:highlight w:val="none"/>
        </w:rPr>
        <w:t>有限公司广州</w:t>
      </w:r>
      <w:r>
        <w:rPr>
          <w:rFonts w:hint="eastAsia" w:ascii="方正小标宋简体" w:hAnsi="方正小标宋简体" w:eastAsia="方正小标宋简体" w:cs="方正小标宋简体"/>
          <w:spacing w:val="0"/>
          <w:sz w:val="44"/>
          <w:szCs w:val="48"/>
          <w:highlight w:val="none"/>
          <w:lang w:eastAsia="zh-CN"/>
        </w:rPr>
        <w:t>分公司</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highlight w:val="none"/>
        </w:rPr>
      </w:pPr>
      <w:r>
        <w:rPr>
          <w:rFonts w:hint="eastAsia" w:ascii="方正小标宋简体" w:hAnsi="方正小标宋简体" w:eastAsia="方正小标宋简体" w:cs="方正小标宋简体"/>
          <w:spacing w:val="0"/>
          <w:sz w:val="44"/>
          <w:szCs w:val="48"/>
          <w:highlight w:val="none"/>
        </w:rPr>
        <w:t>采取</w:t>
      </w:r>
      <w:r>
        <w:rPr>
          <w:rFonts w:hint="eastAsia" w:ascii="方正小标宋简体" w:hAnsi="方正小标宋简体" w:eastAsia="方正小标宋简体" w:cs="方正小标宋简体"/>
          <w:spacing w:val="0"/>
          <w:sz w:val="44"/>
          <w:szCs w:val="44"/>
          <w:highlight w:val="none"/>
          <w:lang w:eastAsia="zh-CN"/>
        </w:rPr>
        <w:t>责令改正监管</w:t>
      </w:r>
      <w:r>
        <w:rPr>
          <w:rFonts w:hint="eastAsia" w:ascii="方正小标宋简体" w:hAnsi="方正小标宋简体" w:eastAsia="方正小标宋简体" w:cs="方正小标宋简体"/>
          <w:spacing w:val="0"/>
          <w:sz w:val="44"/>
          <w:szCs w:val="48"/>
          <w:highlight w:val="none"/>
        </w:rPr>
        <w:t>措施的决定</w:t>
      </w:r>
    </w:p>
    <w:bookmarkEnd w:id="1"/>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慧研智投科技</w:t>
      </w:r>
      <w:r>
        <w:rPr>
          <w:rFonts w:hint="eastAsia" w:ascii="仿宋_GB2312" w:hAnsi="仿宋_GB2312" w:eastAsia="仿宋_GB2312" w:cs="仿宋_GB2312"/>
          <w:color w:val="auto"/>
          <w:sz w:val="32"/>
          <w:szCs w:val="32"/>
          <w:highlight w:val="none"/>
        </w:rPr>
        <w:t>有限公司广州</w:t>
      </w:r>
      <w:r>
        <w:rPr>
          <w:rFonts w:hint="eastAsia" w:ascii="仿宋_GB2312" w:hAnsi="仿宋_GB2312" w:eastAsia="仿宋_GB2312" w:cs="仿宋_GB2312"/>
          <w:color w:val="auto"/>
          <w:sz w:val="32"/>
          <w:szCs w:val="32"/>
          <w:highlight w:val="none"/>
          <w:lang w:eastAsia="zh-CN"/>
        </w:rPr>
        <w:t>分公司</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经查，你公司在开展证券投资顾问业务中存在以下</w:t>
      </w:r>
      <w:r>
        <w:rPr>
          <w:rFonts w:hint="eastAsia" w:ascii="仿宋_GB2312" w:hAnsi="宋体" w:eastAsia="仿宋_GB2312"/>
          <w:color w:val="auto"/>
          <w:spacing w:val="-6"/>
          <w:sz w:val="32"/>
          <w:szCs w:val="32"/>
          <w:highlight w:val="none"/>
          <w:lang w:val="en-US" w:eastAsia="zh-CN"/>
        </w:rPr>
        <w:t>违规行为</w:t>
      </w:r>
      <w:r>
        <w:rPr>
          <w:rFonts w:hint="eastAsia" w:ascii="仿宋_GB2312" w:hAnsi="仿宋_GB2312" w:eastAsia="仿宋_GB2312" w:cs="仿宋_GB2312"/>
          <w:color w:val="auto"/>
          <w:spacing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2" w:firstLineChars="200"/>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一是</w:t>
      </w:r>
      <w:r>
        <w:rPr>
          <w:rFonts w:hint="eastAsia" w:ascii="仿宋_GB2312" w:hAnsi="仿宋_GB2312" w:eastAsia="仿宋_GB2312" w:cs="仿宋_GB2312"/>
          <w:b w:val="0"/>
          <w:bCs w:val="0"/>
          <w:color w:val="auto"/>
          <w:spacing w:val="0"/>
          <w:sz w:val="32"/>
          <w:szCs w:val="32"/>
          <w:highlight w:val="none"/>
          <w:lang w:val="en-US" w:eastAsia="zh-CN"/>
        </w:rPr>
        <w:t>未定期开展适当性自查工作，投资者适当性管理执行不到位；</w:t>
      </w:r>
      <w:r>
        <w:rPr>
          <w:rFonts w:hint="eastAsia" w:ascii="仿宋_GB2312" w:hAnsi="仿宋_GB2312" w:eastAsia="仿宋_GB2312" w:cs="仿宋_GB2312"/>
          <w:b/>
          <w:bCs/>
          <w:color w:val="auto"/>
          <w:spacing w:val="0"/>
          <w:sz w:val="32"/>
          <w:szCs w:val="32"/>
          <w:highlight w:val="none"/>
          <w:lang w:val="en-US" w:eastAsia="zh-CN"/>
        </w:rPr>
        <w:t>二是</w:t>
      </w:r>
      <w:r>
        <w:rPr>
          <w:rFonts w:hint="eastAsia" w:ascii="仿宋_GB2312" w:hAnsi="仿宋_GB2312" w:eastAsia="仿宋_GB2312" w:cs="仿宋_GB2312"/>
          <w:b w:val="0"/>
          <w:bCs w:val="0"/>
          <w:color w:val="auto"/>
          <w:spacing w:val="0"/>
          <w:sz w:val="32"/>
          <w:szCs w:val="32"/>
          <w:highlight w:val="none"/>
          <w:lang w:val="en-US" w:eastAsia="zh-CN"/>
        </w:rPr>
        <w:t>部分营销内容存在暗示保证收益的情形；</w:t>
      </w:r>
      <w:r>
        <w:rPr>
          <w:rFonts w:hint="eastAsia" w:ascii="仿宋_GB2312" w:hAnsi="仿宋_GB2312" w:eastAsia="仿宋_GB2312" w:cs="仿宋_GB2312"/>
          <w:b/>
          <w:bCs/>
          <w:color w:val="auto"/>
          <w:spacing w:val="0"/>
          <w:sz w:val="32"/>
          <w:szCs w:val="32"/>
          <w:highlight w:val="none"/>
          <w:lang w:val="en-US" w:eastAsia="zh-CN"/>
        </w:rPr>
        <w:t>三是</w:t>
      </w:r>
      <w:r>
        <w:rPr>
          <w:rFonts w:hint="eastAsia" w:ascii="仿宋_GB2312" w:hAnsi="仿宋_GB2312" w:eastAsia="仿宋_GB2312" w:cs="仿宋_GB2312"/>
          <w:b w:val="0"/>
          <w:bCs w:val="0"/>
          <w:color w:val="auto"/>
          <w:spacing w:val="0"/>
          <w:sz w:val="32"/>
          <w:szCs w:val="32"/>
          <w:highlight w:val="none"/>
          <w:lang w:val="en-US" w:eastAsia="zh-CN"/>
        </w:rPr>
        <w:t>个别未在中国证券业协会注册登记为证券投资顾问的员工向客户提供投资建议；</w:t>
      </w:r>
      <w:r>
        <w:rPr>
          <w:rFonts w:hint="eastAsia" w:ascii="仿宋_GB2312" w:hAnsi="仿宋_GB2312" w:eastAsia="仿宋_GB2312" w:cs="仿宋_GB2312"/>
          <w:b/>
          <w:bCs/>
          <w:color w:val="auto"/>
          <w:spacing w:val="0"/>
          <w:sz w:val="32"/>
          <w:szCs w:val="32"/>
          <w:highlight w:val="none"/>
          <w:lang w:val="en-US" w:eastAsia="zh-CN"/>
        </w:rPr>
        <w:t>四是</w:t>
      </w:r>
      <w:r>
        <w:rPr>
          <w:rFonts w:hint="eastAsia" w:ascii="仿宋_GB2312" w:hAnsi="仿宋_GB2312" w:eastAsia="仿宋_GB2312" w:cs="仿宋_GB2312"/>
          <w:b w:val="0"/>
          <w:bCs w:val="0"/>
          <w:color w:val="auto"/>
          <w:spacing w:val="0"/>
          <w:sz w:val="32"/>
          <w:szCs w:val="32"/>
          <w:highlight w:val="none"/>
          <w:lang w:val="en-US" w:eastAsia="zh-CN"/>
        </w:rPr>
        <w:t>对客户提供的投资建议存在缺少合理依据、未充分提示风险。</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上述行为违反了《证券期货投资者适当性管理办法》（证监会令〔第202号〕，以下简称《适当性管理办法》）第三条、第三十条，以及《证券投资顾问业务暂行规定》（证监会公告〔2020〕66号，以下简称《业务暂行规定》）第七条、第十六条、十九条的规定。</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根据《适当性管理办法》第三十七条、《业务暂行规定》第三十二条的规定，现决定对你公司采取责令改正的监管措施。</w:t>
      </w:r>
      <w:r>
        <w:rPr>
          <w:rFonts w:hint="eastAsia" w:ascii="仿宋_GB2312" w:hAnsi="仿宋_GB2312" w:eastAsia="仿宋_GB2312" w:cs="仿宋_GB2312"/>
          <w:sz w:val="32"/>
          <w:highlight w:val="none"/>
        </w:rPr>
        <w:t>你</w:t>
      </w:r>
      <w:r>
        <w:rPr>
          <w:rFonts w:hint="eastAsia" w:ascii="仿宋_GB2312" w:hAnsi="仿宋_GB2312" w:eastAsia="仿宋_GB2312" w:cs="仿宋_GB2312"/>
          <w:sz w:val="32"/>
          <w:highlight w:val="none"/>
          <w:lang w:eastAsia="zh-CN"/>
        </w:rPr>
        <w:t>公司</w:t>
      </w:r>
      <w:r>
        <w:rPr>
          <w:rFonts w:hint="eastAsia" w:ascii="仿宋_GB2312" w:hAnsi="仿宋_GB2312" w:eastAsia="仿宋_GB2312" w:cs="仿宋_GB2312"/>
          <w:sz w:val="32"/>
          <w:highlight w:val="none"/>
        </w:rPr>
        <w:t>应</w:t>
      </w:r>
      <w:r>
        <w:rPr>
          <w:rFonts w:hint="eastAsia" w:ascii="仿宋_GB2312" w:hAnsi="仿宋_GB2312" w:eastAsia="仿宋_GB2312" w:cs="仿宋_GB2312"/>
          <w:sz w:val="32"/>
          <w:highlight w:val="none"/>
          <w:lang w:eastAsia="zh-CN"/>
        </w:rPr>
        <w:t>高度重视</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采取切实</w:t>
      </w:r>
      <w:r>
        <w:rPr>
          <w:rFonts w:hint="eastAsia" w:ascii="仿宋_GB2312" w:hAnsi="仿宋_GB2312" w:eastAsia="仿宋_GB2312" w:cs="仿宋_GB2312"/>
          <w:spacing w:val="0"/>
          <w:sz w:val="32"/>
          <w:highlight w:val="none"/>
          <w:lang w:eastAsia="zh-CN"/>
        </w:rPr>
        <w:t>有效措施对存在的问题进行整改，并在收到本决定书之日起</w:t>
      </w:r>
      <w:r>
        <w:rPr>
          <w:rFonts w:hint="eastAsia" w:ascii="仿宋_GB2312" w:hAnsi="仿宋_GB2312" w:eastAsia="仿宋_GB2312" w:cs="仿宋_GB2312"/>
          <w:spacing w:val="0"/>
          <w:sz w:val="32"/>
          <w:highlight w:val="none"/>
          <w:lang w:val="en-US" w:eastAsia="zh-CN"/>
        </w:rPr>
        <w:t>30日内</w:t>
      </w:r>
      <w:r>
        <w:rPr>
          <w:rFonts w:hint="eastAsia" w:ascii="仿宋_GB2312" w:hAnsi="仿宋_GB2312" w:eastAsia="仿宋_GB2312" w:cs="仿宋_GB2312"/>
          <w:spacing w:val="0"/>
          <w:sz w:val="32"/>
          <w:highlight w:val="none"/>
          <w:lang w:eastAsia="zh-CN"/>
        </w:rPr>
        <w:t>向我局</w:t>
      </w:r>
      <w:r>
        <w:rPr>
          <w:rFonts w:hint="eastAsia" w:ascii="仿宋_GB2312" w:hAnsi="仿宋_GB2312" w:eastAsia="仿宋_GB2312" w:cs="仿宋_GB2312"/>
          <w:spacing w:val="0"/>
          <w:sz w:val="32"/>
          <w:highlight w:val="none"/>
        </w:rPr>
        <w:t>提交书面整改报</w:t>
      </w:r>
      <w:r>
        <w:rPr>
          <w:rFonts w:hint="eastAsia" w:ascii="仿宋_GB2312" w:hAnsi="仿宋_GB2312" w:eastAsia="仿宋_GB2312" w:cs="仿宋_GB2312"/>
          <w:sz w:val="32"/>
          <w:highlight w:val="none"/>
        </w:rPr>
        <w:t>告</w:t>
      </w:r>
      <w:r>
        <w:rPr>
          <w:rFonts w:hint="eastAsia" w:ascii="仿宋_GB2312" w:hAnsi="仿宋_GB2312" w:eastAsia="仿宋_GB2312" w:cs="仿宋"/>
          <w:color w:val="auto"/>
          <w:sz w:val="32"/>
          <w:szCs w:val="30"/>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32"/>
          <w:szCs w:val="32"/>
          <w:highlight w:val="none"/>
          <w:lang w:eastAsia="zh-CN"/>
        </w:rPr>
        <w:t>如</w:t>
      </w:r>
      <w:r>
        <w:rPr>
          <w:rFonts w:hint="eastAsia" w:ascii="仿宋_GB2312" w:hAnsi="仿宋_GB2312" w:eastAsia="仿宋_GB2312" w:cs="仿宋_GB2312"/>
          <w:color w:val="000000"/>
          <w:sz w:val="32"/>
          <w:szCs w:val="32"/>
          <w:highlight w:val="none"/>
        </w:rPr>
        <w:t>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pStyle w:val="9"/>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15</w:t>
      </w:r>
      <w:r>
        <w:rPr>
          <w:rFonts w:hint="eastAsia" w:ascii="仿宋_GB2312" w:hAnsi="Times New Roman" w:eastAsia="仿宋_GB2312" w:cs="Times New Roman"/>
          <w:color w:val="000000"/>
          <w:spacing w:val="10"/>
          <w:sz w:val="32"/>
          <w:szCs w:val="32"/>
        </w:rPr>
        <w:t>日</w:t>
      </w: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24"/>
          <w:szCs w:val="16"/>
        </w:rPr>
      </w:pPr>
    </w:p>
    <w:p>
      <w:pPr>
        <w:snapToGrid w:val="0"/>
        <w:spacing w:line="300" w:lineRule="auto"/>
        <w:ind w:right="26"/>
        <w:jc w:val="left"/>
        <w:rPr>
          <w:rFonts w:hint="eastAsia" w:ascii="黑体" w:eastAsia="黑体"/>
          <w:spacing w:val="8"/>
          <w:sz w:val="32"/>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eastAsia="长城仿宋"/>
          <w:sz w:val="28"/>
        </w:rPr>
      </w:pPr>
      <w:r>
        <w:rPr>
          <w:rFonts w:hint="eastAsia" w:ascii="仿宋_GB2312" w:eastAsia="仿宋_GB2312"/>
          <w:spacing w:val="8"/>
          <w:sz w:val="28"/>
        </w:rPr>
        <w:t>抄送：证监会机构司、法治司，山西证监局。</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default" w:ascii="仿宋_GB2312" w:eastAsia="仿宋_GB2312"/>
          <w:spacing w:val="8"/>
          <w:sz w:val="28"/>
          <w:lang w:val="en-US" w:eastAsia="zh-CN"/>
        </w:rPr>
        <w:t>5</w:t>
      </w:r>
      <w:r>
        <w:rPr>
          <w:rFonts w:hint="eastAsia" w:ascii="仿宋_GB2312" w:eastAsia="仿宋_GB2312"/>
          <w:spacing w:val="8"/>
          <w:sz w:val="28"/>
        </w:rPr>
        <w:t>年</w:t>
      </w:r>
      <w:r>
        <w:rPr>
          <w:rFonts w:hint="default" w:ascii="仿宋_GB2312" w:eastAsia="仿宋_GB2312"/>
          <w:spacing w:val="8"/>
          <w:sz w:val="28"/>
          <w:lang w:val="en-US"/>
        </w:rPr>
        <w:t>5</w:t>
      </w:r>
      <w:r>
        <w:rPr>
          <w:rFonts w:hint="eastAsia" w:ascii="仿宋_GB2312" w:eastAsia="仿宋_GB2312"/>
          <w:spacing w:val="8"/>
          <w:sz w:val="28"/>
        </w:rPr>
        <w:t>月</w:t>
      </w:r>
      <w:r>
        <w:rPr>
          <w:rFonts w:hint="default" w:ascii="仿宋_GB2312" w:eastAsia="仿宋_GB2312"/>
          <w:spacing w:val="8"/>
          <w:sz w:val="28"/>
          <w:lang w:val="en-US"/>
        </w:rPr>
        <w:t>15</w:t>
      </w:r>
      <w:r>
        <w:rPr>
          <w:rFonts w:hint="eastAsia" w:ascii="仿宋_GB2312" w:eastAsia="仿宋_GB2312"/>
          <w:spacing w:val="8"/>
          <w:sz w:val="28"/>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beforeLines="0" w:afterLines="0" w:line="240" w:lineRule="auto"/>
        <w:ind w:firstLine="0"/>
        <w:jc w:val="left"/>
        <w:textAlignment w:val="auto"/>
        <w:rPr>
          <w:rFonts w:hint="eastAsia"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1F00FF" w:csb1="FFFF0000"/>
  </w:font>
  <w:font w:name="长城仿宋">
    <w:altName w:val="方正仿宋_GBK"/>
    <w:panose1 w:val="02010609000101010101"/>
    <w:charset w:val="00"/>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F4aj18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9ECBDA"/>
    <w:rsid w:val="17BFBA57"/>
    <w:rsid w:val="35AF5722"/>
    <w:rsid w:val="3FBFF35C"/>
    <w:rsid w:val="5773AEE6"/>
    <w:rsid w:val="65B7A928"/>
    <w:rsid w:val="7EB1F107"/>
    <w:rsid w:val="AFCE8A7B"/>
    <w:rsid w:val="B66BBB6E"/>
    <w:rsid w:val="BF9ECBDA"/>
    <w:rsid w:val="CF7FDA48"/>
    <w:rsid w:val="EE778B02"/>
    <w:rsid w:val="EF4F018F"/>
    <w:rsid w:val="F1FCA1A8"/>
    <w:rsid w:val="F79B3209"/>
    <w:rsid w:val="FB6BF4AB"/>
    <w:rsid w:val="FBB6B118"/>
    <w:rsid w:val="FFB15F55"/>
    <w:rsid w:val="FFEF8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Body Text"/>
    <w:basedOn w:val="1"/>
    <w:unhideWhenUsed/>
    <w:qFormat/>
    <w:uiPriority w:val="99"/>
    <w:pPr>
      <w:jc w:val="center"/>
    </w:pPr>
    <w:rPr>
      <w:rFonts w:eastAsia="黑体"/>
      <w:kern w:val="0"/>
      <w:sz w:val="44"/>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p0"/>
    <w:basedOn w:val="1"/>
    <w:qFormat/>
    <w:uiPriority w:val="0"/>
    <w:pPr>
      <w:widowControl/>
    </w:pPr>
    <w:rPr>
      <w:rFonts w:hint="eastAsia"/>
    </w:r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2025-05-13T01:05:00Z</dcterms:created>
  <dc:creator>梁庆</dc:creator>
  <cp:lastModifiedBy>梁庆</cp:lastModifiedBy>
  <dcterms:modified xsi:type="dcterms:W3CDTF">2025-05-20T13:40:26Z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C46117E036AC2EFDCA152C68695CD0F0</vt:lpwstr>
  </property>
</Properties>
</file>