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jc w:val="center"/>
        <w:rPr>
          <w:rFonts w:hint="eastAsia" w:ascii="方正小标宋简体" w:hAnsi="方正小标宋简体" w:eastAsia="方正小标宋简体"/>
          <w:b/>
          <w:color w:val="FF0000"/>
          <w:w w:val="95"/>
          <w:kern w:val="0"/>
          <w:sz w:val="44"/>
          <w:szCs w:val="116"/>
        </w:rPr>
      </w:pPr>
      <w:bookmarkStart w:id="1" w:name="_GoBack"/>
      <w:bookmarkEnd w:id="1"/>
      <w:r>
        <w:rPr>
          <w:rFonts w:hint="eastAsia" w:ascii="方正小标宋简体" w:hAnsi="方正小标宋简体" w:eastAsia="方正小标宋简体" w:cs="黑体"/>
          <w:b/>
          <w:color w:val="FF0000"/>
          <w:w w:val="95"/>
          <w:sz w:val="44"/>
          <w:szCs w:val="72"/>
        </w:rPr>
        <w:t>中国证券监督管理委员会广东监管局</w:t>
      </w:r>
    </w:p>
    <w:p>
      <w:pPr>
        <w:jc w:val="center"/>
        <w:rPr>
          <w:rFonts w:hint="eastAsia" w:ascii="方正小标宋简体" w:hAnsi="方正小标宋简体" w:eastAsia="方正小标宋简体"/>
          <w:snapToGrid w:val="0"/>
          <w:spacing w:val="85"/>
          <w:w w:val="90"/>
          <w:sz w:val="72"/>
          <w:szCs w:val="72"/>
        </w:rPr>
      </w:pPr>
      <w:r>
        <w:rPr>
          <w:rFonts w:hint="eastAsia" w:ascii="方正小标宋简体" w:hAnsi="方正小标宋简体" w:eastAsia="方正小标宋简体"/>
          <w:b/>
          <w:bCs/>
          <w:snapToGrid w:val="0"/>
          <w:color w:val="FF0000"/>
          <w:spacing w:val="85"/>
          <w:w w:val="90"/>
          <w:sz w:val="72"/>
          <w:szCs w:val="72"/>
        </w:rPr>
        <w:t>行政监管措施决定书</w:t>
      </w:r>
    </w:p>
    <w:p>
      <w:pPr>
        <w:snapToGrid w:val="0"/>
        <w:jc w:val="center"/>
        <w:rPr>
          <w:rFonts w:hint="eastAsia" w:ascii="仿宋_GB2312" w:hAnsi="仿宋_GB2312" w:eastAsia="仿宋_GB2312" w:cs="宋体"/>
          <w:sz w:val="28"/>
          <w:szCs w:val="28"/>
        </w:rPr>
      </w:pPr>
    </w:p>
    <w:p>
      <w:pPr>
        <w:snapToGrid w:val="0"/>
        <w:spacing w:before="156" w:beforeLines="50" w:line="300" w:lineRule="auto"/>
        <w:jc w:val="center"/>
        <w:rPr>
          <w:rFonts w:ascii="黑体" w:hAnsi="Times New Roman" w:eastAsia="黑体" w:cs="Times New Roman"/>
          <w:color w:val="000000"/>
          <w:spacing w:val="12"/>
          <w:sz w:val="32"/>
        </w:rPr>
      </w:pPr>
      <w:r>
        <w:rPr>
          <w:rFonts w:hint="eastAsia" w:ascii="仿宋_GB2312" w:hAnsi="Times New Roman" w:eastAsia="仿宋_GB2312" w:cs="Times New Roman"/>
          <w:color w:val="000000"/>
          <w:spacing w:val="12"/>
          <w:sz w:val="28"/>
        </w:rPr>
        <w:t>〔20</w:t>
      </w:r>
      <w:r>
        <w:rPr>
          <w:rFonts w:hint="eastAsia" w:ascii="仿宋_GB2312" w:hAnsi="Times New Roman" w:eastAsia="仿宋_GB2312" w:cs="Times New Roman"/>
          <w:color w:val="000000"/>
          <w:spacing w:val="12"/>
          <w:sz w:val="28"/>
          <w:lang w:val="en-US" w:eastAsia="zh-CN"/>
        </w:rPr>
        <w:t>2</w:t>
      </w:r>
      <w:r>
        <w:rPr>
          <w:rFonts w:hint="default" w:ascii="仿宋_GB2312" w:eastAsia="仿宋_GB2312" w:cs="Times New Roman"/>
          <w:color w:val="000000"/>
          <w:spacing w:val="12"/>
          <w:sz w:val="28"/>
          <w:lang w:val="en-US" w:eastAsia="zh-CN"/>
        </w:rPr>
        <w:t>5</w:t>
      </w:r>
      <w:r>
        <w:rPr>
          <w:rFonts w:hint="eastAsia" w:ascii="仿宋_GB2312" w:hAnsi="Times New Roman" w:eastAsia="仿宋_GB2312" w:cs="Times New Roman"/>
          <w:color w:val="000000"/>
          <w:spacing w:val="12"/>
          <w:sz w:val="28"/>
        </w:rPr>
        <w:t>〕</w:t>
      </w:r>
      <w:r>
        <w:rPr>
          <w:rFonts w:hint="default" w:ascii="仿宋_GB2312" w:eastAsia="仿宋_GB2312" w:cs="Times New Roman"/>
          <w:color w:val="000000"/>
          <w:spacing w:val="12"/>
          <w:sz w:val="28"/>
          <w:lang w:val="en-US" w:eastAsia="zh-CN"/>
        </w:rPr>
        <w:t>57</w:t>
      </w:r>
      <w:r>
        <w:rPr>
          <w:rFonts w:hint="eastAsia" w:ascii="仿宋_GB2312" w:hAnsi="Times New Roman" w:eastAsia="仿宋_GB2312" w:cs="Times New Roman"/>
          <w:color w:val="000000"/>
          <w:spacing w:val="12"/>
          <w:sz w:val="28"/>
        </w:rPr>
        <w:t>号</w:t>
      </w:r>
    </w:p>
    <w:p>
      <w:pPr>
        <w:snapToGrid w:val="0"/>
        <w:jc w:val="center"/>
        <w:rPr>
          <w:rFonts w:hint="eastAsia" w:ascii="仿宋_GB2312" w:hAnsi="仿宋_GB2312" w:eastAsia="仿宋_GB2312"/>
          <w:sz w:val="28"/>
          <w:szCs w:val="28"/>
        </w:rPr>
      </w:pPr>
      <w: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128905</wp:posOffset>
                </wp:positionV>
                <wp:extent cx="555180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51805" cy="635"/>
                        </a:xfrm>
                        <a:prstGeom prst="line">
                          <a:avLst/>
                        </a:prstGeom>
                        <a:ln w="12700"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6.35pt;margin-top:10.15pt;height:0.05pt;width:437.15pt;z-index:251659264;mso-width-relative:page;mso-height-relative:page;" filled="f" stroked="t" coordsize="21600,21600" o:gfxdata="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zC+1ktYAAAAIAQAADwAAAAAAAAABACAAAAA4AAAAZHJzL2Rvd25yZXYueG1s&#10;UEsBAhQAFAAAAAgAh07iQCiR+N7kAQAAqgMAAA4AAAAAAAAAAQAgAAAAOwEAAGRycy9lMm9Eb2Mu&#10;eG1sUEsFBgAAAAAGAAYAWQEAAJEFAAAAAA==&#10;">
                <v:fill on="f" focussize="0,0"/>
                <v:stroke weight="1pt" color="#FF0000" joinstyle="round"/>
                <v:imagedata o:title=""/>
                <o:lock v:ext="edit" aspectratio="f"/>
              </v:line>
            </w:pict>
          </mc:Fallback>
        </mc:AlternateContent>
      </w:r>
    </w:p>
    <w:p>
      <w:pPr>
        <w:jc w:val="center"/>
        <w:rPr>
          <w:rFonts w:hint="eastAsia"/>
          <w:sz w:val="28"/>
          <w:szCs w:val="28"/>
        </w:rPr>
      </w:pPr>
    </w:p>
    <w:p>
      <w:pPr>
        <w:pStyle w:val="4"/>
        <w:widowControl w:val="0"/>
        <w:pBdr>
          <w:bottom w:val="none" w:color="auto" w:sz="0" w:space="0"/>
        </w:pBdr>
        <w:tabs>
          <w:tab w:val="left" w:pos="420"/>
          <w:tab w:val="clear" w:pos="4153"/>
          <w:tab w:val="clear" w:pos="8306"/>
        </w:tabs>
        <w:overflowPunct w:val="0"/>
        <w:adjustRightInd w:val="0"/>
        <w:snapToGrid w:val="0"/>
        <w:spacing w:afterLines="0" w:line="240" w:lineRule="auto"/>
        <w:jc w:val="center"/>
        <w:rPr>
          <w:rFonts w:hint="eastAsia" w:ascii="方正小标宋简体" w:hAnsi="方正小标宋简体" w:eastAsia="方正小标宋简体"/>
          <w:kern w:val="0"/>
          <w:sz w:val="44"/>
        </w:rPr>
      </w:pPr>
      <w:bookmarkStart w:id="0" w:name="quanwen"/>
      <w:r>
        <w:rPr>
          <w:rFonts w:hint="eastAsia" w:ascii="方正小标宋简体" w:hAnsi="方正小标宋简体" w:eastAsia="方正小标宋简体"/>
          <w:kern w:val="0"/>
          <w:sz w:val="44"/>
        </w:rPr>
        <w:t>关</w:t>
      </w:r>
      <w:r>
        <w:rPr>
          <w:rFonts w:hint="eastAsia" w:ascii="方正小标宋简体" w:hAnsi="方正小标宋简体" w:eastAsia="方正小标宋简体"/>
          <w:b w:val="0"/>
          <w:bCs w:val="0"/>
          <w:kern w:val="0"/>
          <w:sz w:val="44"/>
        </w:rPr>
        <w:t>于</w:t>
      </w:r>
      <w:r>
        <w:rPr>
          <w:rFonts w:hint="eastAsia" w:ascii="方正小标宋简体" w:hAnsi="方正小标宋简体" w:eastAsia="方正小标宋简体"/>
          <w:kern w:val="0"/>
          <w:sz w:val="44"/>
        </w:rPr>
        <w:t>对</w:t>
      </w:r>
      <w:r>
        <w:rPr>
          <w:rFonts w:hint="eastAsia" w:ascii="方正小标宋简体" w:hAnsi="方正小标宋简体" w:eastAsia="方正小标宋简体"/>
          <w:kern w:val="0"/>
          <w:sz w:val="44"/>
          <w:lang w:eastAsia="zh-CN"/>
        </w:rPr>
        <w:t>广州海印实业集团有限公司</w:t>
      </w:r>
      <w:r>
        <w:rPr>
          <w:rFonts w:hint="eastAsia" w:ascii="方正小标宋简体" w:hAnsi="方正小标宋简体" w:eastAsia="方正小标宋简体"/>
          <w:kern w:val="0"/>
          <w:sz w:val="44"/>
        </w:rPr>
        <w:t>采取</w:t>
      </w:r>
    </w:p>
    <w:p>
      <w:pPr>
        <w:pStyle w:val="4"/>
        <w:widowControl w:val="0"/>
        <w:pBdr>
          <w:bottom w:val="none" w:color="auto" w:sz="0" w:space="0"/>
        </w:pBdr>
        <w:tabs>
          <w:tab w:val="left" w:pos="420"/>
          <w:tab w:val="clear" w:pos="4153"/>
          <w:tab w:val="clear" w:pos="8306"/>
        </w:tabs>
        <w:overflowPunct w:val="0"/>
        <w:adjustRightInd w:val="0"/>
        <w:snapToGrid w:val="0"/>
        <w:spacing w:afterLines="0" w:line="240" w:lineRule="auto"/>
        <w:jc w:val="center"/>
        <w:rPr>
          <w:rFonts w:hint="default" w:ascii="方正小标宋简体" w:hAnsi="方正小标宋简体" w:eastAsia="方正小标宋简体"/>
          <w:kern w:val="0"/>
          <w:sz w:val="44"/>
        </w:rPr>
      </w:pPr>
      <w:r>
        <w:rPr>
          <w:rFonts w:hint="eastAsia" w:ascii="方正小标宋简体" w:hAnsi="方正小标宋简体" w:eastAsia="方正小标宋简体"/>
          <w:kern w:val="0"/>
          <w:sz w:val="44"/>
          <w:lang w:eastAsia="zh-CN"/>
        </w:rPr>
        <w:t>警示函</w:t>
      </w:r>
      <w:r>
        <w:rPr>
          <w:rFonts w:hint="eastAsia" w:ascii="方正小标宋简体" w:hAnsi="方正小标宋简体" w:eastAsia="方正小标宋简体"/>
          <w:kern w:val="0"/>
          <w:sz w:val="44"/>
        </w:rPr>
        <w:t>措施的决定</w:t>
      </w:r>
    </w:p>
    <w:p>
      <w:pPr>
        <w:overflowPunct w:val="0"/>
        <w:adjustRightInd w:val="0"/>
        <w:snapToGrid w:val="0"/>
        <w:spacing w:afterLines="0" w:line="240" w:lineRule="auto"/>
        <w:rPr>
          <w:rFonts w:hint="eastAsia" w:ascii="方正小标宋简体" w:hAnsi="方正小标宋简体" w:eastAsia="方正小标宋简体" w:cs="方正小标宋简体"/>
          <w:spacing w:val="8"/>
          <w:kern w:val="0"/>
          <w:sz w:val="32"/>
          <w:szCs w:val="32"/>
        </w:rPr>
      </w:pPr>
    </w:p>
    <w:p>
      <w:pPr>
        <w:widowControl w:val="0"/>
        <w:overflowPunct w:val="0"/>
        <w:adjustRightInd w:val="0"/>
        <w:snapToGrid w:val="0"/>
        <w:spacing w:beforeLines="0" w:afterLines="0" w:line="288" w:lineRule="auto"/>
        <w:rPr>
          <w:rFonts w:hint="eastAsia" w:ascii="仿宋_GB2312" w:hAnsi="仿宋_GB2312" w:eastAsia="仿宋_GB2312" w:cs="仿宋_GB2312"/>
          <w:spacing w:val="0"/>
          <w:kern w:val="0"/>
          <w:sz w:val="32"/>
          <w:lang w:val="en-US" w:eastAsia="zh-CN"/>
        </w:rPr>
      </w:pPr>
      <w:r>
        <w:rPr>
          <w:rFonts w:hint="eastAsia" w:ascii="仿宋_GB2312" w:hAnsi="仿宋_GB2312" w:eastAsia="仿宋_GB2312" w:cs="仿宋_GB2312"/>
          <w:spacing w:val="0"/>
          <w:kern w:val="0"/>
          <w:sz w:val="32"/>
          <w:lang w:val="en-US" w:eastAsia="zh-CN"/>
        </w:rPr>
        <w:t>广州海印实业集团有限公司：</w:t>
      </w:r>
    </w:p>
    <w:p>
      <w:pPr>
        <w:widowControl w:val="0"/>
        <w:wordWrap/>
        <w:overflowPunct w:val="0"/>
        <w:adjustRightInd/>
        <w:snapToGrid w:val="0"/>
        <w:spacing w:before="0" w:beforeLines="0" w:after="0" w:afterLines="0" w:line="288" w:lineRule="auto"/>
        <w:ind w:left="0" w:leftChars="0" w:right="0" w:firstLine="640" w:firstLineChars="0"/>
        <w:jc w:val="both"/>
        <w:textAlignment w:val="auto"/>
        <w:outlineLvl w:val="9"/>
        <w:rPr>
          <w:rFonts w:hint="eastAsia" w:ascii="仿宋_GB2312" w:hAnsi="仿宋_GB2312" w:eastAsia="仿宋_GB2312" w:cs="Times New Roman"/>
          <w:kern w:val="0"/>
          <w:sz w:val="32"/>
          <w:szCs w:val="20"/>
          <w:lang w:val="en-US" w:eastAsia="zh-CN"/>
        </w:rPr>
      </w:pPr>
      <w:r>
        <w:rPr>
          <w:rFonts w:hint="eastAsia" w:ascii="仿宋_GB2312" w:hAnsi="仿宋_GB2312" w:eastAsia="仿宋_GB2312" w:cs="Times New Roman"/>
          <w:kern w:val="0"/>
          <w:sz w:val="32"/>
          <w:szCs w:val="20"/>
          <w:lang w:val="en-US" w:eastAsia="zh-CN"/>
        </w:rPr>
        <w:t>经查，我局发现你公司存在以下违规行为：</w:t>
      </w:r>
    </w:p>
    <w:p>
      <w:pPr>
        <w:widowControl w:val="0"/>
        <w:wordWrap/>
        <w:overflowPunct w:val="0"/>
        <w:adjustRightInd/>
        <w:snapToGrid w:val="0"/>
        <w:spacing w:before="0" w:beforeLines="0" w:after="0" w:afterLines="0" w:line="288" w:lineRule="auto"/>
        <w:ind w:left="0" w:leftChars="0" w:right="0" w:firstLine="640" w:firstLineChars="0"/>
        <w:jc w:val="both"/>
        <w:textAlignment w:val="auto"/>
        <w:outlineLvl w:val="9"/>
        <w:rPr>
          <w:rFonts w:hint="default" w:ascii="仿宋_GB2312" w:hAnsi="仿宋_GB2312" w:eastAsia="仿宋_GB2312" w:cs="仿宋_GB2312"/>
          <w:kern w:val="0"/>
          <w:sz w:val="32"/>
          <w:szCs w:val="32"/>
          <w:lang w:val="en" w:eastAsia="zh-CN"/>
        </w:rPr>
      </w:pPr>
      <w:r>
        <w:rPr>
          <w:rFonts w:hint="default" w:ascii="仿宋_GB2312" w:hAnsi="仿宋_GB2312" w:eastAsia="仿宋_GB2312" w:cs="仿宋_GB2312"/>
          <w:kern w:val="0"/>
          <w:sz w:val="32"/>
          <w:szCs w:val="32"/>
          <w:lang w:val="en" w:eastAsia="zh-CN"/>
        </w:rPr>
        <w:t>2024年6月19日，广东海印集团股份有限公司</w:t>
      </w:r>
      <w:r>
        <w:rPr>
          <w:rFonts w:hint="eastAsia" w:ascii="仿宋_GB2312" w:hAnsi="仿宋_GB2312" w:eastAsia="仿宋_GB2312" w:cs="仿宋_GB2312"/>
          <w:kern w:val="0"/>
          <w:sz w:val="32"/>
          <w:szCs w:val="32"/>
          <w:lang w:val="en" w:eastAsia="zh-CN"/>
        </w:rPr>
        <w:t>（以下简称海印股份或公司）披露《关于控股股东增持公司股份计划的公告》。公告</w:t>
      </w:r>
      <w:r>
        <w:rPr>
          <w:rFonts w:hint="default" w:ascii="仿宋_GB2312" w:hAnsi="仿宋_GB2312" w:eastAsia="仿宋_GB2312" w:cs="仿宋_GB2312"/>
          <w:kern w:val="0"/>
          <w:sz w:val="32"/>
          <w:szCs w:val="32"/>
          <w:lang w:val="en" w:eastAsia="zh-CN"/>
        </w:rPr>
        <w:t>称</w:t>
      </w:r>
      <w:r>
        <w:rPr>
          <w:rFonts w:hint="eastAsia" w:ascii="仿宋_GB2312" w:hAnsi="仿宋_GB2312" w:eastAsia="仿宋_GB2312" w:cs="仿宋_GB2312"/>
          <w:kern w:val="0"/>
          <w:sz w:val="32"/>
          <w:szCs w:val="32"/>
          <w:lang w:val="en" w:eastAsia="zh-CN"/>
        </w:rPr>
        <w:t>，公司</w:t>
      </w:r>
      <w:r>
        <w:rPr>
          <w:rFonts w:hint="default" w:ascii="仿宋_GB2312" w:hAnsi="仿宋_GB2312" w:eastAsia="仿宋_GB2312" w:cs="仿宋_GB2312"/>
          <w:kern w:val="0"/>
          <w:sz w:val="32"/>
          <w:szCs w:val="32"/>
          <w:lang w:val="en" w:eastAsia="zh-CN"/>
        </w:rPr>
        <w:t>控股股东广州海印实业集团有限公司(以下简称海印集团)自</w:t>
      </w:r>
      <w:r>
        <w:rPr>
          <w:rFonts w:hint="eastAsia" w:ascii="仿宋_GB2312" w:hAnsi="仿宋_GB2312" w:eastAsia="仿宋_GB2312" w:cs="仿宋_GB2312"/>
          <w:kern w:val="0"/>
          <w:sz w:val="32"/>
          <w:szCs w:val="32"/>
          <w:lang w:val="en-US" w:eastAsia="zh-CN"/>
        </w:rPr>
        <w:t>本公告披露之日</w:t>
      </w:r>
      <w:r>
        <w:rPr>
          <w:rFonts w:hint="default" w:ascii="仿宋_GB2312" w:hAnsi="仿宋_GB2312" w:eastAsia="仿宋_GB2312" w:cs="仿宋_GB2312"/>
          <w:kern w:val="0"/>
          <w:sz w:val="32"/>
          <w:szCs w:val="32"/>
          <w:lang w:val="en" w:eastAsia="zh-CN"/>
        </w:rPr>
        <w:t>起6个月内</w:t>
      </w:r>
      <w:r>
        <w:rPr>
          <w:rFonts w:hint="eastAsia" w:ascii="仿宋_GB2312" w:hAnsi="仿宋_GB2312" w:eastAsia="仿宋_GB2312" w:cs="仿宋_GB2312"/>
          <w:kern w:val="0"/>
          <w:sz w:val="32"/>
          <w:szCs w:val="32"/>
          <w:lang w:val="en" w:eastAsia="zh-CN"/>
        </w:rPr>
        <w:t>（增持计划实施期间，如遇公司股票停牌，增持计划将在股票复牌后顺延实施并及时披露）</w:t>
      </w:r>
      <w:r>
        <w:rPr>
          <w:rFonts w:hint="default" w:ascii="仿宋_GB2312" w:hAnsi="仿宋_GB2312" w:eastAsia="仿宋_GB2312" w:cs="仿宋_GB2312"/>
          <w:kern w:val="0"/>
          <w:sz w:val="32"/>
          <w:szCs w:val="32"/>
          <w:lang w:val="en" w:eastAsia="zh-CN"/>
        </w:rPr>
        <w:t>通过深圳证券交易所交易系统以集中竞价或大宗交易的方式增持公司股份</w:t>
      </w:r>
      <w:r>
        <w:rPr>
          <w:rFonts w:hint="eastAsia" w:ascii="仿宋_GB2312" w:hAnsi="仿宋_GB2312" w:eastAsia="仿宋_GB2312" w:cs="仿宋_GB2312"/>
          <w:kern w:val="0"/>
          <w:sz w:val="32"/>
          <w:szCs w:val="32"/>
          <w:lang w:val="en" w:eastAsia="zh-CN"/>
        </w:rPr>
        <w:t>，计划</w:t>
      </w:r>
      <w:r>
        <w:rPr>
          <w:rFonts w:hint="default" w:ascii="仿宋_GB2312" w:hAnsi="仿宋_GB2312" w:eastAsia="仿宋_GB2312" w:cs="仿宋_GB2312"/>
          <w:kern w:val="0"/>
          <w:sz w:val="32"/>
          <w:szCs w:val="32"/>
          <w:lang w:val="en" w:eastAsia="zh-CN"/>
        </w:rPr>
        <w:t>增持金额</w:t>
      </w:r>
      <w:r>
        <w:rPr>
          <w:rFonts w:hint="eastAsia" w:ascii="仿宋_GB2312" w:hAnsi="仿宋_GB2312" w:eastAsia="仿宋_GB2312" w:cs="仿宋_GB2312"/>
          <w:kern w:val="0"/>
          <w:sz w:val="32"/>
          <w:szCs w:val="32"/>
          <w:lang w:val="en" w:eastAsia="zh-CN"/>
        </w:rPr>
        <w:t>不低于</w:t>
      </w:r>
      <w:r>
        <w:rPr>
          <w:rFonts w:hint="eastAsia" w:ascii="仿宋_GB2312" w:hAnsi="仿宋_GB2312" w:eastAsia="仿宋_GB2312" w:cs="仿宋_GB2312"/>
          <w:kern w:val="0"/>
          <w:sz w:val="32"/>
          <w:szCs w:val="32"/>
          <w:lang w:val="en-US" w:eastAsia="zh-CN"/>
        </w:rPr>
        <w:t>5,000万元人民币，不超过8,000万元人民币</w:t>
      </w:r>
      <w:r>
        <w:rPr>
          <w:rFonts w:hint="default" w:ascii="仿宋_GB2312" w:hAnsi="仿宋_GB2312" w:eastAsia="仿宋_GB2312" w:cs="仿宋_GB2312"/>
          <w:kern w:val="0"/>
          <w:sz w:val="32"/>
          <w:szCs w:val="32"/>
          <w:lang w:val="en" w:eastAsia="zh-CN"/>
        </w:rPr>
        <w:t>。</w:t>
      </w:r>
    </w:p>
    <w:p>
      <w:pPr>
        <w:widowControl w:val="0"/>
        <w:wordWrap/>
        <w:overflowPunct w:val="0"/>
        <w:adjustRightInd/>
        <w:snapToGrid w:val="0"/>
        <w:spacing w:before="0" w:beforeLines="0" w:after="0" w:afterLines="0" w:line="288" w:lineRule="auto"/>
        <w:ind w:left="0" w:leftChars="0" w:right="0" w:firstLine="640" w:firstLineChars="0"/>
        <w:jc w:val="both"/>
        <w:textAlignment w:val="auto"/>
        <w:outlineLvl w:val="9"/>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 w:eastAsia="zh-CN"/>
        </w:rPr>
        <w:t>20</w:t>
      </w:r>
      <w:r>
        <w:rPr>
          <w:rFonts w:hint="eastAsia" w:ascii="仿宋_GB2312" w:hAnsi="仿宋_GB2312" w:eastAsia="仿宋_GB2312" w:cs="仿宋_GB2312"/>
          <w:kern w:val="0"/>
          <w:sz w:val="32"/>
          <w:szCs w:val="32"/>
          <w:lang w:val="en-US" w:eastAsia="zh-CN"/>
        </w:rPr>
        <w:t>25年4月15日，海印股份披露《股东增持股份结果公告》。公告称，截至2025年4月12日，上述增持计划期限届满，海印集团因实施上述增持计划合计</w:t>
      </w:r>
      <w:r>
        <w:rPr>
          <w:rFonts w:hint="eastAsia" w:ascii="仿宋_GB2312" w:hAnsi="仿宋_GB2312" w:eastAsia="仿宋_GB2312" w:cs="仿宋_GB2312"/>
          <w:kern w:val="0"/>
          <w:sz w:val="32"/>
          <w:szCs w:val="32"/>
          <w:highlight w:val="none"/>
          <w:lang w:val="en-US" w:eastAsia="zh-CN"/>
        </w:rPr>
        <w:t>增持公司股份19,617,000股，合计增持金额为13,464,227元。</w:t>
      </w:r>
      <w:r>
        <w:rPr>
          <w:rFonts w:hint="eastAsia" w:ascii="仿宋_GB2312" w:hAnsi="仿宋_GB2312" w:eastAsia="仿宋_GB2312" w:cs="仿宋_GB2312"/>
          <w:kern w:val="0"/>
          <w:sz w:val="32"/>
          <w:szCs w:val="32"/>
          <w:lang w:val="en-US" w:eastAsia="zh-CN"/>
        </w:rPr>
        <w:t>海印集团在承诺期限内增持金额未能达到增持计划的金额下限，上述增持计划未能按期完成，公司控股股东未能履行承诺。</w:t>
      </w:r>
    </w:p>
    <w:p>
      <w:pPr>
        <w:widowControl w:val="0"/>
        <w:wordWrap/>
        <w:overflowPunct w:val="0"/>
        <w:adjustRightInd/>
        <w:snapToGrid w:val="0"/>
        <w:spacing w:before="0" w:beforeLines="0" w:after="0" w:afterLines="0" w:line="288" w:lineRule="auto"/>
        <w:ind w:left="0" w:leftChars="0" w:right="0" w:firstLine="640" w:firstLineChars="0"/>
        <w:jc w:val="both"/>
        <w:textAlignment w:val="auto"/>
        <w:outlineLvl w:val="9"/>
        <w:rPr>
          <w:rFonts w:hint="eastAsia" w:ascii="仿宋_GB2312" w:hAnsi="仿宋_GB2312" w:eastAsia="仿宋_GB2312" w:cs="Times New Roman"/>
          <w:kern w:val="0"/>
          <w:sz w:val="32"/>
          <w:szCs w:val="20"/>
          <w:highlight w:val="none"/>
          <w:lang w:val="en-US" w:eastAsia="zh-CN"/>
        </w:rPr>
      </w:pPr>
      <w:r>
        <w:rPr>
          <w:rFonts w:hint="eastAsia" w:ascii="仿宋_GB2312" w:hAnsi="仿宋_GB2312" w:eastAsia="仿宋_GB2312" w:cs="仿宋_GB2312"/>
          <w:kern w:val="0"/>
          <w:sz w:val="32"/>
          <w:szCs w:val="32"/>
          <w:highlight w:val="none"/>
          <w:lang w:val="en-US" w:eastAsia="zh-CN"/>
        </w:rPr>
        <w:t>你公司未完成前期作出的承诺</w:t>
      </w:r>
      <w:r>
        <w:rPr>
          <w:rFonts w:hint="eastAsia" w:ascii="仿宋_GB2312" w:hAnsi="仿宋_GB2312" w:eastAsia="仿宋_GB2312" w:cs="Times New Roman"/>
          <w:kern w:val="0"/>
          <w:sz w:val="32"/>
          <w:szCs w:val="20"/>
          <w:highlight w:val="none"/>
          <w:lang w:val="en-US" w:eastAsia="zh-CN"/>
        </w:rPr>
        <w:t>，构成《上市公司监管指引第4号——上市公司及其相关方承诺》（证监会公告〔2022〕16号，以下简称《监管指引第4号》）第十五条第一款</w:t>
      </w:r>
      <w:r>
        <w:rPr>
          <w:rFonts w:hint="eastAsia" w:ascii="仿宋_GB2312" w:hAnsi="仿宋_GB2312" w:eastAsia="仿宋_GB2312" w:cs="仿宋_GB2312"/>
          <w:sz w:val="32"/>
          <w:szCs w:val="32"/>
          <w:lang w:val="en-US" w:eastAsia="zh-CN"/>
        </w:rPr>
        <w:t>规定的违反承诺情形</w:t>
      </w:r>
      <w:r>
        <w:rPr>
          <w:rFonts w:hint="eastAsia" w:ascii="仿宋_GB2312" w:hAnsi="仿宋_GB2312" w:eastAsia="仿宋_GB2312" w:cs="Times New Roman"/>
          <w:kern w:val="0"/>
          <w:sz w:val="32"/>
          <w:szCs w:val="20"/>
          <w:highlight w:val="none"/>
          <w:lang w:val="en-US" w:eastAsia="zh-CN"/>
        </w:rPr>
        <w:t>。</w:t>
      </w:r>
    </w:p>
    <w:p>
      <w:pPr>
        <w:widowControl w:val="0"/>
        <w:wordWrap/>
        <w:overflowPunct w:val="0"/>
        <w:adjustRightInd/>
        <w:snapToGrid w:val="0"/>
        <w:spacing w:before="0" w:beforeLines="0" w:after="0" w:afterLines="0" w:line="288" w:lineRule="auto"/>
        <w:ind w:left="0" w:leftChars="0" w:right="0" w:firstLine="640" w:firstLineChars="0"/>
        <w:jc w:val="both"/>
        <w:textAlignment w:val="auto"/>
        <w:outlineLvl w:val="9"/>
        <w:rPr>
          <w:rFonts w:hint="default"/>
          <w:spacing w:val="6"/>
          <w:kern w:val="0"/>
          <w:lang w:val="en-US" w:eastAsia="zh-CN"/>
        </w:rPr>
      </w:pPr>
      <w:r>
        <w:rPr>
          <w:rFonts w:hint="eastAsia" w:ascii="仿宋_GB2312" w:hAnsi="仿宋_GB2312" w:eastAsia="仿宋_GB2312" w:cs="Times New Roman"/>
          <w:kern w:val="0"/>
          <w:sz w:val="32"/>
          <w:szCs w:val="20"/>
          <w:highlight w:val="none"/>
          <w:lang w:val="en-US" w:eastAsia="zh-CN"/>
        </w:rPr>
        <w:t>根据</w:t>
      </w:r>
      <w:r>
        <w:rPr>
          <w:rFonts w:hint="eastAsia" w:ascii="仿宋_GB2312" w:hAnsi="仿宋_GB2312" w:eastAsia="仿宋_GB2312" w:cs="Times New Roman"/>
          <w:color w:val="000000"/>
          <w:kern w:val="0"/>
          <w:sz w:val="32"/>
          <w:szCs w:val="24"/>
          <w:highlight w:val="none"/>
          <w:shd w:val="clear"/>
          <w:lang w:val="en-US" w:eastAsia="zh-CN" w:bidi="ar-SA"/>
        </w:rPr>
        <w:t>《中华人民共和国证券法》第一百七十条第二款、</w:t>
      </w:r>
      <w:r>
        <w:rPr>
          <w:rFonts w:hint="eastAsia" w:ascii="仿宋_GB2312" w:hAnsi="仿宋_GB2312" w:eastAsia="仿宋_GB2312" w:cs="Times New Roman"/>
          <w:kern w:val="0"/>
          <w:sz w:val="32"/>
          <w:szCs w:val="20"/>
          <w:highlight w:val="none"/>
          <w:lang w:val="en-US" w:eastAsia="zh-CN"/>
        </w:rPr>
        <w:t>《监管指引第4号》</w:t>
      </w:r>
      <w:r>
        <w:rPr>
          <w:rFonts w:hint="eastAsia" w:ascii="仿宋_GB2312" w:hAnsi="仿宋_GB2312" w:eastAsia="仿宋_GB2312" w:cs="Times New Roman"/>
          <w:kern w:val="0"/>
          <w:sz w:val="32"/>
          <w:szCs w:val="20"/>
          <w:lang w:val="en-US" w:eastAsia="zh-CN"/>
        </w:rPr>
        <w:t>第十七条的规定，我局决定对你公司采取警示函的行政监管措施。你公司应当吸取教训，加强证券市场法律法规学习，杜绝再次发生此类违法行为。</w:t>
      </w:r>
    </w:p>
    <w:p>
      <w:pPr>
        <w:overflowPunct w:val="0"/>
        <w:adjustRightInd w:val="0"/>
        <w:snapToGrid w:val="0"/>
        <w:spacing w:beforeLines="0" w:afterLines="0" w:line="288" w:lineRule="auto"/>
        <w:ind w:firstLine="640" w:firstLineChars="0"/>
        <w:jc w:val="both"/>
        <w:outlineLvl w:val="9"/>
        <w:rPr>
          <w:rFonts w:hint="eastAsia" w:ascii="宋体" w:hAnsi="宋体" w:eastAsia="宋体" w:cs="宋体"/>
          <w:b w:val="0"/>
          <w:bCs w:val="0"/>
          <w:sz w:val="28"/>
          <w:szCs w:val="28"/>
        </w:rPr>
      </w:pPr>
      <w:r>
        <w:rPr>
          <w:rFonts w:hint="eastAsia" w:ascii="仿宋_GB2312" w:hAnsi="仿宋_GB2312" w:eastAsia="仿宋_GB2312" w:cs="仿宋_GB2312"/>
          <w:color w:val="000000"/>
          <w:spacing w:val="0"/>
          <w:kern w:val="0"/>
          <w:sz w:val="32"/>
        </w:rPr>
        <w:t>如果对本监督管理措施不服，可以在收到本决定书之日起60日内向中国证券监督管理委员会提出行政复议申请</w:t>
      </w:r>
      <w:r>
        <w:rPr>
          <w:rFonts w:hint="eastAsia" w:ascii="仿宋_GB2312" w:hAnsi="仿宋_GB2312" w:eastAsia="仿宋_GB2312" w:cs="仿宋_GB2312"/>
          <w:color w:val="000000"/>
          <w:spacing w:val="0"/>
          <w:kern w:val="0"/>
          <w:sz w:val="32"/>
          <w:lang w:val="en-US" w:eastAsia="zh-CN"/>
        </w:rPr>
        <w:t>，</w:t>
      </w:r>
      <w:r>
        <w:rPr>
          <w:rFonts w:hint="eastAsia" w:ascii="仿宋_GB2312" w:hAnsi="仿宋_GB2312" w:eastAsia="仿宋_GB2312" w:cs="仿宋_GB2312"/>
          <w:color w:val="000000"/>
          <w:spacing w:val="0"/>
          <w:kern w:val="0"/>
          <w:sz w:val="32"/>
        </w:rPr>
        <w:t>也可以在收到本决定书之日起6个月内向有管辖权的人民法院提起诉讼。复议与诉讼期间，上述监督管理措施不停止执行。</w:t>
      </w:r>
    </w:p>
    <w:p>
      <w:pPr>
        <w:pStyle w:val="8"/>
        <w:widowControl w:val="0"/>
        <w:overflowPunct w:val="0"/>
        <w:snapToGrid w:val="0"/>
        <w:spacing w:line="360" w:lineRule="auto"/>
        <w:rPr>
          <w:rFonts w:hint="eastAsia" w:ascii="仿宋_GB2312" w:hAnsi="仿宋_GB2312" w:eastAsia="仿宋_GB2312" w:cs="仿宋_GB2312"/>
          <w:color w:val="auto"/>
          <w:sz w:val="16"/>
          <w:szCs w:val="16"/>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cs="宋体"/>
          <w:color w:val="000000"/>
          <w:sz w:val="16"/>
          <w:szCs w:val="16"/>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cs="宋体"/>
          <w:color w:val="000000"/>
          <w:sz w:val="16"/>
          <w:szCs w:val="16"/>
        </w:rPr>
      </w:pPr>
    </w:p>
    <w:p>
      <w:pPr>
        <w:overflowPunct w:val="0"/>
        <w:adjustRightInd w:val="0"/>
        <w:snapToGrid w:val="0"/>
        <w:spacing w:line="360" w:lineRule="auto"/>
        <w:ind w:right="1705"/>
        <w:jc w:val="right"/>
        <w:rPr>
          <w:rFonts w:hint="eastAsia" w:ascii="仿宋_GB2312" w:hAnsi="Times New Roman" w:eastAsia="仿宋_GB2312" w:cs="Times New Roman"/>
          <w:color w:val="000000"/>
          <w:sz w:val="32"/>
        </w:rPr>
      </w:pPr>
      <w:r>
        <w:rPr>
          <w:rFonts w:hint="eastAsia" w:ascii="仿宋_GB2312" w:hAnsi="Times New Roman" w:eastAsia="仿宋_GB2312" w:cs="Times New Roman"/>
          <w:color w:val="000000"/>
          <w:sz w:val="32"/>
        </w:rPr>
        <w:t>广东证监局</w:t>
      </w:r>
    </w:p>
    <w:p>
      <w:pPr>
        <w:numPr>
          <w:ilvl w:val="0"/>
          <w:numId w:val="0"/>
        </w:numPr>
        <w:pBdr>
          <w:top w:val="none" w:color="auto" w:sz="0" w:space="0"/>
          <w:bottom w:val="none" w:color="auto" w:sz="0" w:space="0"/>
        </w:pBdr>
        <w:overflowPunct w:val="0"/>
        <w:adjustRightInd w:val="0"/>
        <w:snapToGrid w:val="0"/>
        <w:spacing w:beforeLines="0" w:afterLines="0" w:line="360" w:lineRule="auto"/>
        <w:jc w:val="center"/>
        <w:outlineLvl w:val="9"/>
      </w:pPr>
      <w:r>
        <w:rPr>
          <w:rFonts w:hint="eastAsia" w:ascii="仿宋_GB2312" w:hAnsi="Times New Roman" w:eastAsia="仿宋_GB2312" w:cs="Times New Roman"/>
          <w:color w:val="000000"/>
          <w:spacing w:val="10"/>
          <w:sz w:val="28"/>
          <w:szCs w:val="28"/>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default"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eastAsia="zh-CN"/>
        </w:rPr>
        <w:t>2</w:t>
      </w:r>
      <w:r>
        <w:rPr>
          <w:rFonts w:hint="eastAsia" w:ascii="仿宋_GB2312" w:hAnsi="Times New Roman" w:eastAsia="仿宋_GB2312" w:cs="Times New Roman"/>
          <w:color w:val="000000"/>
          <w:spacing w:val="10"/>
          <w:sz w:val="32"/>
          <w:szCs w:val="32"/>
          <w:lang w:val="en-US" w:eastAsia="zh-CN"/>
        </w:rPr>
        <w:t>02</w:t>
      </w:r>
      <w:r>
        <w:rPr>
          <w:rFonts w:hint="default" w:ascii="仿宋_GB2312" w:hAnsi="Times New Roman" w:eastAsia="仿宋_GB2312" w:cs="Times New Roman"/>
          <w:color w:val="000000"/>
          <w:spacing w:val="10"/>
          <w:sz w:val="32"/>
          <w:szCs w:val="32"/>
          <w:lang w:val="en-US" w:eastAsia="zh-CN"/>
        </w:rPr>
        <w:t>5</w:t>
      </w:r>
      <w:r>
        <w:rPr>
          <w:rFonts w:hint="eastAsia" w:ascii="仿宋_GB2312" w:hAnsi="Times New Roman" w:eastAsia="仿宋_GB2312" w:cs="Times New Roman"/>
          <w:color w:val="000000"/>
          <w:spacing w:val="10"/>
          <w:sz w:val="32"/>
          <w:szCs w:val="32"/>
        </w:rPr>
        <w:t>年</w:t>
      </w:r>
      <w:r>
        <w:rPr>
          <w:rFonts w:hint="default" w:ascii="仿宋_GB2312" w:eastAsia="仿宋_GB2312" w:cs="Times New Roman"/>
          <w:color w:val="000000"/>
          <w:spacing w:val="10"/>
          <w:sz w:val="32"/>
          <w:szCs w:val="32"/>
          <w:lang w:val="en-US"/>
        </w:rPr>
        <w:t>5</w:t>
      </w:r>
      <w:r>
        <w:rPr>
          <w:rFonts w:hint="eastAsia" w:ascii="仿宋_GB2312" w:hAnsi="Times New Roman" w:eastAsia="仿宋_GB2312" w:cs="Times New Roman"/>
          <w:color w:val="000000"/>
          <w:spacing w:val="10"/>
          <w:sz w:val="32"/>
          <w:szCs w:val="32"/>
        </w:rPr>
        <w:t>月</w:t>
      </w:r>
      <w:r>
        <w:rPr>
          <w:rFonts w:hint="default" w:ascii="仿宋_GB2312" w:cs="Times New Roman"/>
          <w:color w:val="000000"/>
          <w:spacing w:val="10"/>
          <w:sz w:val="32"/>
          <w:szCs w:val="32"/>
          <w:lang w:val="en-US" w:eastAsia="zh-CN"/>
        </w:rPr>
        <w:t>13</w:t>
      </w:r>
      <w:r>
        <w:rPr>
          <w:rFonts w:hint="eastAsia" w:ascii="仿宋_GB2312" w:hAnsi="Times New Roman" w:eastAsia="仿宋_GB2312" w:cs="Times New Roman"/>
          <w:color w:val="000000"/>
          <w:spacing w:val="10"/>
          <w:sz w:val="32"/>
          <w:szCs w:val="32"/>
        </w:rPr>
        <w:t>日</w:t>
      </w:r>
    </w:p>
    <w:p>
      <w:pPr>
        <w:snapToGrid w:val="0"/>
        <w:spacing w:line="360" w:lineRule="auto"/>
        <w:ind w:right="28"/>
        <w:jc w:val="left"/>
        <w:rPr>
          <w:rFonts w:ascii="黑体" w:eastAsia="黑体"/>
          <w:spacing w:val="8"/>
          <w:sz w:val="20"/>
          <w:szCs w:val="20"/>
        </w:rPr>
      </w:pPr>
    </w:p>
    <w:p>
      <w:pPr>
        <w:pBdr>
          <w:top w:val="single" w:color="auto" w:sz="8" w:space="6"/>
        </w:pBdr>
        <w:adjustRightInd w:val="0"/>
        <w:snapToGrid w:val="0"/>
        <w:spacing w:after="109" w:afterLines="35"/>
        <w:ind w:firstLine="296" w:firstLineChars="100"/>
        <w:rPr>
          <w:rFonts w:hint="eastAsia" w:ascii="仿宋_GB2312" w:eastAsia="仿宋_GB2312"/>
          <w:spacing w:val="6"/>
          <w:sz w:val="28"/>
        </w:rPr>
      </w:pPr>
      <w:r>
        <w:rPr>
          <w:rFonts w:hint="eastAsia" w:ascii="仿宋_GB2312" w:eastAsia="仿宋_GB2312"/>
          <w:spacing w:val="8"/>
          <w:sz w:val="28"/>
        </w:rPr>
        <w:t>抄送：</w:t>
      </w:r>
      <w:r>
        <w:rPr>
          <w:rFonts w:hint="eastAsia" w:ascii="仿宋_GB2312" w:eastAsia="仿宋_GB2312"/>
          <w:spacing w:val="6"/>
          <w:sz w:val="28"/>
        </w:rPr>
        <w:t>证监会上市司、公众司、法治司；深圳证券交易所；</w:t>
      </w:r>
    </w:p>
    <w:p>
      <w:pPr>
        <w:pBdr>
          <w:top w:val="single" w:color="auto" w:sz="8" w:space="6"/>
        </w:pBdr>
        <w:adjustRightInd w:val="0"/>
        <w:snapToGrid w:val="0"/>
        <w:spacing w:after="109" w:afterLines="35"/>
        <w:ind w:firstLine="1184" w:firstLineChars="400"/>
        <w:rPr>
          <w:rFonts w:hint="eastAsia" w:ascii="仿宋_GB2312" w:eastAsia="仿宋_GB2312"/>
          <w:spacing w:val="8"/>
          <w:sz w:val="28"/>
          <w:lang w:val="en-US" w:eastAsia="zh-CN"/>
        </w:rPr>
      </w:pPr>
      <w:r>
        <w:rPr>
          <w:rFonts w:hint="eastAsia" w:ascii="仿宋_GB2312" w:eastAsia="仿宋_GB2312"/>
          <w:spacing w:val="8"/>
          <w:sz w:val="28"/>
          <w:lang w:val="en-US" w:eastAsia="zh-CN"/>
        </w:rPr>
        <w:t>全国中小企业股份转让系统有限责任公司；</w:t>
      </w:r>
    </w:p>
    <w:p>
      <w:pPr>
        <w:pBdr>
          <w:top w:val="single" w:color="auto" w:sz="8" w:space="6"/>
        </w:pBdr>
        <w:adjustRightInd w:val="0"/>
        <w:snapToGrid w:val="0"/>
        <w:spacing w:after="109" w:afterLines="35"/>
        <w:ind w:firstLine="1184" w:firstLineChars="400"/>
        <w:rPr>
          <w:rFonts w:hint="eastAsia" w:ascii="仿宋_GB2312" w:eastAsia="仿宋_GB2312"/>
          <w:spacing w:val="8"/>
          <w:sz w:val="28"/>
          <w:lang w:val="en-US" w:eastAsia="zh-CN"/>
        </w:rPr>
      </w:pPr>
      <w:r>
        <w:rPr>
          <w:rFonts w:hint="eastAsia" w:ascii="仿宋_GB2312" w:eastAsia="仿宋_GB2312"/>
          <w:spacing w:val="8"/>
          <w:sz w:val="28"/>
          <w:lang w:val="en-US" w:eastAsia="zh-CN"/>
        </w:rPr>
        <w:t>广东海印集团股份有限公司。</w:t>
      </w:r>
    </w:p>
    <w:p>
      <w:pPr>
        <w:pBdr>
          <w:top w:val="single" w:color="auto" w:sz="4" w:space="6"/>
        </w:pBdr>
        <w:adjustRightInd w:val="0"/>
        <w:snapToGrid w:val="0"/>
        <w:spacing w:after="109" w:afterLines="35"/>
        <w:ind w:firstLine="318"/>
        <w:jc w:val="left"/>
        <w:rPr>
          <w:rFonts w:ascii="仿宋_GB2312" w:eastAsia="仿宋_GB2312"/>
          <w:spacing w:val="8"/>
          <w:sz w:val="28"/>
        </w:rPr>
      </w:pPr>
      <w:r>
        <w:rPr>
          <w:rFonts w:hint="eastAsia" w:ascii="仿宋_GB2312" w:eastAsia="仿宋_GB2312"/>
          <w:spacing w:val="8"/>
          <w:sz w:val="28"/>
        </w:rPr>
        <w:t xml:space="preserve">广东证监局办公室      </w:t>
      </w:r>
      <w:r>
        <w:rPr>
          <w:rFonts w:hint="default" w:ascii="仿宋_GB2312" w:eastAsia="仿宋_GB2312"/>
          <w:spacing w:val="8"/>
          <w:sz w:val="28"/>
          <w:lang w:val="en-US"/>
        </w:rPr>
        <w:t xml:space="preserve"> </w:t>
      </w:r>
      <w:r>
        <w:rPr>
          <w:rFonts w:hint="eastAsia" w:ascii="仿宋_GB2312" w:eastAsia="仿宋_GB2312"/>
          <w:spacing w:val="8"/>
          <w:sz w:val="28"/>
        </w:rPr>
        <w:t xml:space="preserve">          </w:t>
      </w:r>
      <w:r>
        <w:rPr>
          <w:rFonts w:hint="default" w:ascii="仿宋_GB2312" w:eastAsia="仿宋_GB2312"/>
          <w:spacing w:val="8"/>
          <w:sz w:val="28"/>
          <w:lang w:val="en-US"/>
        </w:rPr>
        <w:t xml:space="preserve"> </w:t>
      </w:r>
      <w:r>
        <w:rPr>
          <w:rFonts w:hint="eastAsia" w:ascii="仿宋_GB2312" w:eastAsia="仿宋_GB2312"/>
          <w:spacing w:val="8"/>
          <w:sz w:val="28"/>
        </w:rPr>
        <w:t xml:space="preserve"> 202</w:t>
      </w:r>
      <w:r>
        <w:rPr>
          <w:rFonts w:hint="eastAsia" w:ascii="仿宋_GB2312" w:eastAsia="仿宋_GB2312"/>
          <w:spacing w:val="8"/>
          <w:sz w:val="28"/>
          <w:lang w:val="en-US" w:eastAsia="zh-CN"/>
        </w:rPr>
        <w:t>5</w:t>
      </w:r>
      <w:r>
        <w:rPr>
          <w:rFonts w:hint="eastAsia" w:ascii="仿宋_GB2312" w:eastAsia="仿宋_GB2312"/>
          <w:spacing w:val="8"/>
          <w:sz w:val="28"/>
        </w:rPr>
        <w:t>年</w:t>
      </w:r>
      <w:r>
        <w:rPr>
          <w:rFonts w:hint="eastAsia" w:ascii="仿宋_GB2312" w:eastAsia="仿宋_GB2312"/>
          <w:spacing w:val="8"/>
          <w:sz w:val="28"/>
          <w:lang w:val="en-US" w:eastAsia="zh-CN"/>
        </w:rPr>
        <w:t>5</w:t>
      </w:r>
      <w:r>
        <w:rPr>
          <w:rFonts w:hint="eastAsia" w:ascii="仿宋_GB2312" w:eastAsia="仿宋_GB2312"/>
          <w:spacing w:val="8"/>
          <w:sz w:val="28"/>
        </w:rPr>
        <w:t>月</w:t>
      </w:r>
      <w:r>
        <w:rPr>
          <w:rFonts w:hint="default" w:ascii="仿宋_GB2312" w:eastAsia="仿宋_GB2312"/>
          <w:spacing w:val="8"/>
          <w:sz w:val="28"/>
          <w:lang w:val="en-US" w:eastAsia="zh-CN"/>
        </w:rPr>
        <w:t>13</w:t>
      </w:r>
      <w:r>
        <w:rPr>
          <w:rFonts w:hint="eastAsia" w:ascii="仿宋_GB2312" w:eastAsia="仿宋_GB2312"/>
          <w:spacing w:val="8"/>
          <w:sz w:val="28"/>
        </w:rPr>
        <w:t>日印发</w:t>
      </w:r>
    </w:p>
    <w:p>
      <w:pPr>
        <w:widowControl w:val="0"/>
        <w:pBdr>
          <w:top w:val="single" w:color="auto" w:sz="8" w:space="7"/>
        </w:pBdr>
        <w:overflowPunct w:val="0"/>
        <w:adjustRightInd w:val="0"/>
        <w:snapToGrid w:val="0"/>
        <w:spacing w:beforeLines="0" w:afterLines="0"/>
        <w:jc w:val="left"/>
        <w:rPr>
          <w:rFonts w:ascii="仿宋_GB2312" w:eastAsia="仿宋_GB2312"/>
          <w:spacing w:val="8"/>
          <w:sz w:val="2"/>
          <w:szCs w:val="2"/>
        </w:rPr>
      </w:pPr>
    </w:p>
    <w:bookmarkEnd w:id="0"/>
    <w:p>
      <w:pPr>
        <w:snapToGrid w:val="0"/>
        <w:spacing w:beforeLines="0" w:afterLines="0"/>
        <w:rPr>
          <w:sz w:val="2"/>
          <w:szCs w:val="2"/>
        </w:rPr>
      </w:pPr>
    </w:p>
    <w:sectPr>
      <w:footerReference r:id="rId3" w:type="default"/>
      <w:pgSz w:w="11906" w:h="16838"/>
      <w:pgMar w:top="2097"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Web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revisionView w:markup="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D7FE5F8"/>
    <w:rsid w:val="2D7762B1"/>
    <w:rsid w:val="329E3526"/>
    <w:rsid w:val="3FF5DD26"/>
    <w:rsid w:val="5FFE171B"/>
    <w:rsid w:val="7AEE2E47"/>
    <w:rsid w:val="7FFF3689"/>
    <w:rsid w:val="B8EF445F"/>
    <w:rsid w:val="DD7FE5F8"/>
    <w:rsid w:val="E3DF8473"/>
    <w:rsid w:val="E6FDB772"/>
    <w:rsid w:val="EDB79171"/>
    <w:rsid w:val="F5738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Indent"/>
    <w:basedOn w:val="1"/>
    <w:next w:val="1"/>
    <w:qFormat/>
    <w:uiPriority w:val="0"/>
    <w:pPr>
      <w:spacing w:line="240" w:lineRule="auto"/>
      <w:ind w:firstLine="420"/>
      <w:jc w:val="both"/>
      <w:textAlignment w:val="baseline"/>
    </w:pPr>
    <w:rPr>
      <w:rFonts w:ascii="宋体" w:hAnsi="Calibri"/>
      <w:kern w:val="0"/>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p0"/>
    <w:basedOn w:val="1"/>
    <w:qFormat/>
    <w:uiPriority w:val="0"/>
    <w:pPr>
      <w:widowControl/>
    </w:pPr>
    <w:rPr>
      <w:rFonts w:hint="eastAsia"/>
    </w:rPr>
  </w:style>
  <w:style w:type="paragraph" w:customStyle="1" w:styleId="9">
    <w:name w:val="Char Char Char Char Char Char Char Char Char"/>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2025-04-30T03:23:00Z</dcterms:created>
  <dc:creator>周晓萌：主办人办理</dc:creator>
  <cp:lastModifiedBy>周晓萌</cp:lastModifiedBy>
  <dcterms:modified xsi:type="dcterms:W3CDTF">2025-05-16T15:07:03Z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B99050211E63AC84500F0E68BC6EA2EF</vt:lpwstr>
  </property>
</Properties>
</file>