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88"/>
        </w:tabs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项目名单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4"/>
        <w:gridCol w:w="2410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牵头申报单位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AutoHyphens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联合申报单位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金融科技赋能宏观金融风险监测预警体系建设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基于信创的飞马异构主席灾备系统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中泰期货股份有限公司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中金所数据有限公司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金融科技赋能上市公司股份综合管理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上证所信息网络有限公司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基于区块链的股权投资尽调核查辅助工具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齐鲁股权交易中心有限公司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深圳证券通信有限公司、</w:t>
            </w:r>
            <w:r>
              <w:t xml:space="preserve">                </w:t>
            </w:r>
            <w:r>
              <w:rPr>
                <w:rFonts w:hint="eastAsia"/>
              </w:rPr>
              <w:t>百望股份有限公司、</w:t>
            </w:r>
            <w:r>
              <w:t xml:space="preserve">                    </w:t>
            </w:r>
            <w:r>
              <w:rPr>
                <w:rFonts w:hint="eastAsia"/>
              </w:rPr>
              <w:t>见知数据科技（上海）有限公司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基于大数据、人工智能的投资研究平台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赋能券商自营业务的一站式极速策略平台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基于区块链的“专精特新”企业一体化智能服务平台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北京共识数信科技有限公司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大语言模型在证券行业运营中的研究与应用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全面风险管理系统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中泰期货股份有限公司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上海金仕达软件科技股份有限公司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场外期权业务管理系统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中泰期货股份有限公司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基于信创的资金管理平台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中泰期货股份有限公司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恒生电子股份有限公司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基于云原生的全栈信创分布式高性能核心交易接入平台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支持全栈信创的证券公司云原生湖仓一体大数据平台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数字人民币在证券行业财富管理中的应用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中国建设银行股份有限公司山东省分行、</w:t>
            </w:r>
          </w:p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深圳市金证科技股份有限公司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数字认证技术在证券行业机构服务中的应用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  <w:r>
              <w:rPr>
                <w:rFonts w:hint="eastAsia"/>
              </w:rPr>
              <w:t>中泰证券股份有限公司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Calibri" w:hAnsi="Calibri"/>
              </w:rPr>
            </w:pPr>
          </w:p>
        </w:tc>
      </w:tr>
    </w:tbl>
    <w:p/>
    <w:sectPr>
      <w:footerReference r:id="rId3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F6AF2C"/>
    <w:rsid w:val="7EED9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孙梦雪</cp:lastModifiedBy>
  <dcterms:modified xsi:type="dcterms:W3CDTF">2025-01-03T13:48:27Z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