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63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widowControl w:val="0"/>
        <w:wordWrap/>
        <w:overflowPunct w:val="0"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深圳融昱资本管理有限公司采取</w:t>
      </w:r>
    </w:p>
    <w:p>
      <w:pPr>
        <w:widowControl w:val="0"/>
        <w:wordWrap/>
        <w:overflowPunct w:val="0"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出具警示函措施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深圳融昱资本管理有限公司：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经查，你公司作为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广州多浦乐电子科技股份有限公司（以下简称多浦乐）持股5%以上股东厦门融昱佳弘投资合伙企业（有限合伙）的一致行动人，于2026年4月9日以集中竞价方式减持多浦乐股份16.43万股，占总股本的0.27%，减持金额1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008.33万元，在减持之前未按规定预先披露减持计划。上述行为违反了《上市公司股东减持股份管理暂行办法》（证监会令第227号，下同）第九条第一款、第二十条第一款的规定。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6年4月14至17日，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以集中竞价方式购回多浦乐股份16.43万股，无价差。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《上市公司股东减持股份管理暂行办法》第二十九条的规定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采取出具警示函的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你公司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应于收到本决定书15个交易日内向我局报送整改报告，并抄报深圳证券交易所。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/>
        <w:jc w:val="both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Calibri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snapToGrid w:val="0"/>
        <w:spacing w:line="360" w:lineRule="auto"/>
        <w:rPr>
          <w:rFonts w:hint="eastAsia" w:ascii="Calibri" w:hAnsi="Calibri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317" w:firstLineChars="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抄送：证监会法治司；深圳证券交易所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30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6727"/>
    <w:rsid w:val="7695429C"/>
    <w:rsid w:val="79FB6727"/>
    <w:rsid w:val="7DF7A383"/>
    <w:rsid w:val="7F3F69A1"/>
    <w:rsid w:val="7FF87114"/>
    <w:rsid w:val="AE4B4CA0"/>
    <w:rsid w:val="EB738A23"/>
    <w:rsid w:val="FB7971B7"/>
    <w:rsid w:val="FDBF801E"/>
    <w:rsid w:val="FFBBC2A2"/>
    <w:rsid w:val="FFBEDD0E"/>
    <w:rsid w:val="FF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2026-04-24T15:25:00Z</dcterms:created>
  <dc:creator>刘林：其他人员改稿</dc:creator>
  <cp:lastModifiedBy>csrc</cp:lastModifiedBy>
  <dcterms:modified xsi:type="dcterms:W3CDTF">2026-05-11T17:04:43Z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0E02462AB7C37544AB9B016A20B76CA9</vt:lpwstr>
  </property>
</Properties>
</file>