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CFE11">
      <w:pPr>
        <w:tabs>
          <w:tab w:val="left" w:pos="420"/>
        </w:tabs>
        <w:jc w:val="center"/>
        <w:rPr>
          <w:rFonts w:hint="eastAsia" w:ascii="方正小标宋简体" w:hAnsi="方正小标宋简体" w:eastAsia="方正小标宋简体" w:cs="Times New Roman"/>
          <w:b/>
          <w:color w:val="FF0000"/>
          <w:w w:val="95"/>
          <w:kern w:val="0"/>
          <w:sz w:val="44"/>
          <w:szCs w:val="116"/>
        </w:rPr>
      </w:pPr>
      <w:r>
        <w:rPr>
          <w:rFonts w:hint="eastAsia" w:ascii="方正小标宋简体" w:hAnsi="方正小标宋简体" w:eastAsia="方正小标宋简体" w:cs="黑体"/>
          <w:b/>
          <w:color w:val="FF0000"/>
          <w:w w:val="95"/>
          <w:sz w:val="44"/>
          <w:szCs w:val="72"/>
        </w:rPr>
        <w:t>中国证券监督管理委员会广东监管局</w:t>
      </w:r>
    </w:p>
    <w:p w14:paraId="061870BE">
      <w:pPr>
        <w:jc w:val="center"/>
        <w:rPr>
          <w:rFonts w:hint="eastAsia" w:ascii="方正小标宋简体" w:hAnsi="方正小标宋简体" w:eastAsia="方正小标宋简体" w:cs="Times New Roman"/>
          <w:snapToGrid w:val="0"/>
          <w:spacing w:val="85"/>
          <w:w w:val="90"/>
          <w:sz w:val="72"/>
          <w:szCs w:val="72"/>
        </w:rPr>
      </w:pPr>
      <w:r>
        <w:rPr>
          <w:rFonts w:hint="eastAsia" w:ascii="方正小标宋简体" w:hAnsi="方正小标宋简体" w:eastAsia="方正小标宋简体" w:cs="Times New Roman"/>
          <w:b/>
          <w:bCs/>
          <w:snapToGrid w:val="0"/>
          <w:color w:val="FF0000"/>
          <w:spacing w:val="85"/>
          <w:w w:val="90"/>
          <w:sz w:val="72"/>
          <w:szCs w:val="72"/>
        </w:rPr>
        <w:t>行政监管措施决定书</w:t>
      </w:r>
    </w:p>
    <w:p w14:paraId="5830A7DE">
      <w:pPr>
        <w:snapToGrid w:val="0"/>
        <w:jc w:val="center"/>
        <w:rPr>
          <w:rFonts w:hint="eastAsia" w:ascii="仿宋_GB2312" w:hAnsi="仿宋_GB2312" w:eastAsia="仿宋_GB2312" w:cs="宋体"/>
          <w:sz w:val="28"/>
          <w:szCs w:val="28"/>
        </w:rPr>
      </w:pPr>
    </w:p>
    <w:p w14:paraId="176B6E43">
      <w:pPr>
        <w:snapToGrid w:val="0"/>
        <w:spacing w:before="156" w:beforeLines="50" w:line="300" w:lineRule="auto"/>
        <w:jc w:val="center"/>
        <w:rPr>
          <w:rFonts w:ascii="黑体" w:hAnsi="Times New Roman" w:eastAsia="黑体" w:cs="Times New Roman"/>
          <w:color w:val="000000"/>
          <w:spacing w:val="12"/>
          <w:sz w:val="32"/>
          <w:szCs w:val="20"/>
        </w:rPr>
      </w:pPr>
      <w:bookmarkStart w:id="0" w:name="WH"/>
      <w:bookmarkEnd w:id="0"/>
      <w:r>
        <w:rPr>
          <w:rFonts w:hint="eastAsia" w:ascii="仿宋_GB2312" w:hAnsi="Times New Roman" w:eastAsia="仿宋_GB2312" w:cs="Times New Roman"/>
          <w:color w:val="000000"/>
          <w:spacing w:val="12"/>
          <w:sz w:val="28"/>
          <w:szCs w:val="20"/>
        </w:rPr>
        <w:t>〔20</w:t>
      </w:r>
      <w:r>
        <w:rPr>
          <w:rFonts w:hint="default" w:ascii="仿宋_GB2312" w:hAnsi="Times New Roman" w:eastAsia="仿宋_GB2312" w:cs="Times New Roman"/>
          <w:color w:val="000000"/>
          <w:spacing w:val="12"/>
          <w:sz w:val="28"/>
          <w:szCs w:val="20"/>
          <w:lang w:val="en-US"/>
        </w:rPr>
        <w:t>26</w:t>
      </w:r>
      <w:r>
        <w:rPr>
          <w:rFonts w:hint="eastAsia" w:ascii="仿宋_GB2312" w:hAnsi="Times New Roman" w:eastAsia="仿宋_GB2312" w:cs="Times New Roman"/>
          <w:color w:val="000000"/>
          <w:spacing w:val="12"/>
          <w:sz w:val="28"/>
          <w:szCs w:val="20"/>
        </w:rPr>
        <w:t>〕</w:t>
      </w:r>
      <w:r>
        <w:rPr>
          <w:rFonts w:hint="default" w:ascii="仿宋_GB2312" w:hAnsi="Times New Roman" w:eastAsia="仿宋_GB2312" w:cs="Times New Roman"/>
          <w:color w:val="000000"/>
          <w:spacing w:val="12"/>
          <w:sz w:val="28"/>
          <w:szCs w:val="20"/>
          <w:lang w:val="en-US"/>
        </w:rPr>
        <w:t>47</w:t>
      </w:r>
      <w:r>
        <w:rPr>
          <w:rFonts w:hint="eastAsia" w:ascii="仿宋_GB2312" w:hAnsi="Times New Roman" w:eastAsia="仿宋_GB2312" w:cs="Times New Roman"/>
          <w:color w:val="000000"/>
          <w:spacing w:val="12"/>
          <w:sz w:val="28"/>
          <w:szCs w:val="20"/>
        </w:rPr>
        <w:t>号</w:t>
      </w:r>
    </w:p>
    <w:p w14:paraId="12D6DBC3">
      <w:pPr>
        <w:snapToGrid w:val="0"/>
        <w:jc w:val="center"/>
        <w:rPr>
          <w:rFonts w:hint="eastAsia" w:ascii="仿宋_GB2312" w:hAnsi="仿宋_GB2312" w:eastAsia="仿宋_GB2312" w:cs="Times New Roman"/>
          <w:sz w:val="28"/>
          <w:szCs w:val="28"/>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C+1ktYAAAAIAQAADwAAAAAAAAABACAAAAAiAAAAZHJzL2Rvd25yZXYu&#10;eG1sUEsBAhQAFAAAAAgAh07iQBXy5mP9AQAA9QMAAA4AAAAAAAAAAQAgAAAAJQEAAGRycy9lMm9E&#10;b2MueG1sUEsFBgAAAAAGAAYAWQEAAJQFAAAAAA==&#10;">
                <v:fill on="f" focussize="0,0"/>
                <v:stroke weight="1pt" color="#FF0000" joinstyle="round"/>
                <v:imagedata o:title=""/>
                <o:lock v:ext="edit" aspectratio="f"/>
              </v:line>
            </w:pict>
          </mc:Fallback>
        </mc:AlternateContent>
      </w:r>
    </w:p>
    <w:p w14:paraId="24589EB2">
      <w:pPr>
        <w:jc w:val="center"/>
        <w:rPr>
          <w:rFonts w:hint="eastAsia" w:ascii="Times New Roman" w:hAnsi="Times New Roman" w:eastAsia="宋体" w:cs="Times New Roman"/>
          <w:sz w:val="28"/>
          <w:szCs w:val="28"/>
        </w:rPr>
      </w:pPr>
    </w:p>
    <w:p w14:paraId="6F9F5CF9">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方正小标宋简体" w:hAnsi="方正小标宋简体" w:eastAsia="方正小标宋简体" w:cs="方正小标宋简体"/>
          <w:spacing w:val="-6"/>
          <w:kern w:val="0"/>
          <w:sz w:val="44"/>
          <w:lang w:val="en-US" w:eastAsia="zh-CN" w:bidi="ar-SA"/>
        </w:rPr>
      </w:pPr>
      <w:bookmarkStart w:id="1" w:name="quanwen"/>
      <w:r>
        <w:rPr>
          <w:rFonts w:hint="eastAsia" w:ascii="方正小标宋简体" w:hAnsi="方正小标宋简体" w:eastAsia="方正小标宋简体" w:cs="方正小标宋简体"/>
          <w:spacing w:val="-6"/>
          <w:kern w:val="0"/>
          <w:sz w:val="44"/>
          <w:lang w:val="en-US" w:eastAsia="zh-CN" w:bidi="ar-SA"/>
        </w:rPr>
        <w:t>关于对广州民投产业投资管理有限公司</w:t>
      </w:r>
    </w:p>
    <w:p w14:paraId="0A66FE88">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6"/>
          <w:kern w:val="0"/>
          <w:sz w:val="44"/>
          <w:lang w:val="en-US" w:eastAsia="zh-CN" w:bidi="ar-SA"/>
        </w:rPr>
      </w:pPr>
      <w:r>
        <w:rPr>
          <w:rFonts w:hint="eastAsia" w:ascii="方正小标宋简体" w:hAnsi="方正小标宋简体" w:eastAsia="方正小标宋简体" w:cs="方正小标宋简体"/>
          <w:spacing w:val="-6"/>
          <w:kern w:val="0"/>
          <w:sz w:val="44"/>
          <w:lang w:val="en-US" w:eastAsia="zh-CN" w:bidi="ar-SA"/>
        </w:rPr>
        <w:t>采取责令改正措施的决定</w:t>
      </w:r>
    </w:p>
    <w:p w14:paraId="4B0B05A6">
      <w:pPr>
        <w:snapToGrid w:val="0"/>
        <w:spacing w:beforeLines="0" w:afterLines="0"/>
        <w:rPr>
          <w:rFonts w:hint="eastAsia" w:ascii="方正小标宋简体" w:hAnsi="方正小标宋简体" w:eastAsia="方正小标宋简体" w:cs="方正小标宋简体"/>
          <w:sz w:val="32"/>
          <w:szCs w:val="32"/>
          <w:lang w:val="en-US" w:eastAsia="zh-CN"/>
        </w:rPr>
      </w:pPr>
    </w:p>
    <w:p w14:paraId="4744BC94">
      <w:pPr>
        <w:keepNext w:val="0"/>
        <w:keepLines w:val="0"/>
        <w:pageBreakBefore w:val="0"/>
        <w:widowControl w:val="0"/>
        <w:kinsoku/>
        <w:wordWrap/>
        <w:overflowPunct w:val="0"/>
        <w:topLinePunct w:val="0"/>
        <w:autoSpaceDE/>
        <w:autoSpaceDN/>
        <w:bidi w:val="0"/>
        <w:adjustRightInd w:val="0"/>
        <w:snapToGrid w:val="0"/>
        <w:spacing w:beforeLines="0" w:afterLines="0" w:line="312" w:lineRule="auto"/>
        <w:textAlignment w:val="auto"/>
        <w:rPr>
          <w:rFonts w:hint="eastAsia" w:ascii="仿宋_GB2312" w:hAnsi="仿宋_GB2312" w:eastAsia="仿宋_GB2312" w:cs="仿宋"/>
          <w:sz w:val="32"/>
          <w:szCs w:val="30"/>
          <w:lang w:val="en-US" w:eastAsia="zh-CN"/>
        </w:rPr>
      </w:pPr>
      <w:r>
        <w:rPr>
          <w:rFonts w:hint="eastAsia" w:ascii="仿宋_GB2312" w:hAnsi="仿宋_GB2312" w:eastAsia="仿宋_GB2312" w:cs="仿宋"/>
          <w:sz w:val="32"/>
          <w:szCs w:val="30"/>
          <w:lang w:val="en-US" w:eastAsia="zh-CN"/>
        </w:rPr>
        <w:t>广州民投产业投资管理有限公司：</w:t>
      </w:r>
    </w:p>
    <w:p w14:paraId="4361DE5B">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12" w:lineRule="auto"/>
        <w:ind w:firstLine="640" w:firstLineChars="200"/>
        <w:jc w:val="both"/>
        <w:textAlignment w:val="auto"/>
        <w:outlineLvl w:val="9"/>
        <w:rPr>
          <w:rFonts w:hint="eastAsia" w:ascii="仿宋_GB2312" w:hAnsi="仿宋_GB2312" w:eastAsia="仿宋_GB2312" w:cs="仿宋_GB2312"/>
          <w:kern w:val="0"/>
          <w:sz w:val="32"/>
          <w:lang w:val="en-US" w:eastAsia="zh-CN" w:bidi="ar-SA"/>
        </w:rPr>
      </w:pPr>
      <w:r>
        <w:rPr>
          <w:rFonts w:hint="eastAsia" w:ascii="仿宋_GB2312" w:hAnsi="仿宋_GB2312" w:eastAsia="仿宋_GB2312" w:cs="仿宋_GB2312"/>
          <w:kern w:val="0"/>
          <w:sz w:val="32"/>
          <w:lang w:val="en-US" w:eastAsia="zh-CN" w:bidi="ar-SA"/>
        </w:rPr>
        <w:t>经</w:t>
      </w:r>
      <w:r>
        <w:rPr>
          <w:rFonts w:hint="eastAsia" w:ascii="仿宋_GB2312" w:hAnsi="仿宋_GB2312" w:eastAsia="仿宋_GB2312" w:cs="仿宋_GB2312"/>
          <w:spacing w:val="-6"/>
          <w:kern w:val="0"/>
          <w:sz w:val="32"/>
          <w:lang w:val="en-US" w:eastAsia="zh-CN" w:bidi="ar-SA"/>
        </w:rPr>
        <w:t>查，你公司在开展私募基金业务过程中，存在以下违规行为：</w:t>
      </w:r>
    </w:p>
    <w:p w14:paraId="6B988AD5">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12" w:lineRule="auto"/>
        <w:ind w:firstLine="643" w:firstLineChars="200"/>
        <w:jc w:val="both"/>
        <w:textAlignment w:val="auto"/>
        <w:outlineLvl w:val="9"/>
        <w:rPr>
          <w:rFonts w:hint="eastAsia" w:ascii="Times New Roman" w:hAnsi="Times New Roman" w:eastAsia="宋体" w:cs="Times New Roman"/>
          <w:kern w:val="0"/>
          <w:sz w:val="21"/>
          <w:lang w:val="en-US" w:eastAsia="zh-CN" w:bidi="ar-SA"/>
        </w:rPr>
      </w:pPr>
      <w:r>
        <w:rPr>
          <w:rFonts w:hint="eastAsia" w:ascii="仿宋_GB2312" w:hAnsi="宋体" w:eastAsia="仿宋_GB2312" w:cs="Times New Roman"/>
          <w:b/>
          <w:bCs/>
          <w:spacing w:val="0"/>
          <w:kern w:val="0"/>
          <w:sz w:val="32"/>
          <w:szCs w:val="32"/>
          <w:lang w:val="en-US" w:eastAsia="zh-CN" w:bidi="ar-SA"/>
        </w:rPr>
        <w:t>一是</w:t>
      </w:r>
      <w:r>
        <w:rPr>
          <w:rFonts w:hint="eastAsia" w:ascii="仿宋_GB2312" w:hAnsi="仿宋_GB2312" w:eastAsia="仿宋_GB2312" w:cs="仿宋_GB2312"/>
          <w:b w:val="0"/>
          <w:bCs w:val="0"/>
          <w:i w:val="0"/>
          <w:iCs w:val="0"/>
          <w:caps w:val="0"/>
          <w:spacing w:val="0"/>
          <w:kern w:val="0"/>
          <w:sz w:val="32"/>
          <w:szCs w:val="20"/>
          <w:highlight w:val="none"/>
          <w:shd w:val="clear" w:color="auto" w:fill="auto"/>
          <w:lang w:val="en-US" w:eastAsia="zh-CN" w:bidi="ar-SA"/>
        </w:rPr>
        <w:t>委托不具有基金业务销售资格的个人或公司从事资金募集活动并向其支付报酬。上述行为违反了《私募投资基金监督管理暂行办法》（证监会令第105号，以下简称《私募办法》）第二十三条第九项及《关于加强私募投资基金监管的若干规定》（证监会公告〔202</w:t>
      </w:r>
      <w:r>
        <w:rPr>
          <w:rFonts w:hint="default" w:ascii="仿宋_GB2312" w:hAnsi="仿宋_GB2312" w:eastAsia="仿宋_GB2312" w:cs="仿宋_GB2312"/>
          <w:b w:val="0"/>
          <w:bCs w:val="0"/>
          <w:i w:val="0"/>
          <w:iCs w:val="0"/>
          <w:caps w:val="0"/>
          <w:spacing w:val="0"/>
          <w:kern w:val="0"/>
          <w:sz w:val="32"/>
          <w:szCs w:val="20"/>
          <w:highlight w:val="none"/>
          <w:shd w:val="clear" w:color="auto" w:fill="auto"/>
          <w:lang w:val="en-US" w:eastAsia="zh-CN" w:bidi="ar-SA"/>
        </w:rPr>
        <w:t>0</w:t>
      </w:r>
      <w:r>
        <w:rPr>
          <w:rFonts w:hint="eastAsia" w:ascii="仿宋_GB2312" w:hAnsi="仿宋_GB2312" w:eastAsia="仿宋_GB2312" w:cs="仿宋_GB2312"/>
          <w:b w:val="0"/>
          <w:bCs w:val="0"/>
          <w:i w:val="0"/>
          <w:iCs w:val="0"/>
          <w:caps w:val="0"/>
          <w:spacing w:val="0"/>
          <w:kern w:val="0"/>
          <w:sz w:val="32"/>
          <w:szCs w:val="20"/>
          <w:highlight w:val="none"/>
          <w:shd w:val="clear" w:color="auto" w:fill="auto"/>
          <w:lang w:val="en-US" w:eastAsia="zh-CN" w:bidi="ar-SA"/>
        </w:rPr>
        <w:t>〕71号，以下简称《若干规定》）第六条第一款第八项的规定。</w:t>
      </w:r>
      <w:r>
        <w:rPr>
          <w:rFonts w:hint="eastAsia" w:ascii="仿宋_GB2312" w:hAnsi="宋体" w:eastAsia="仿宋_GB2312" w:cs="Times New Roman"/>
          <w:b/>
          <w:bCs/>
          <w:spacing w:val="0"/>
          <w:kern w:val="0"/>
          <w:sz w:val="32"/>
          <w:szCs w:val="32"/>
          <w:highlight w:val="none"/>
          <w:lang w:val="en-US" w:eastAsia="zh-CN" w:bidi="ar-SA"/>
        </w:rPr>
        <w:t>二是</w:t>
      </w:r>
      <w:r>
        <w:rPr>
          <w:rFonts w:hint="eastAsia" w:ascii="仿宋_GB2312" w:hAnsi="宋体" w:eastAsia="仿宋_GB2312" w:cs="Times New Roman"/>
          <w:b w:val="0"/>
          <w:bCs w:val="0"/>
          <w:spacing w:val="0"/>
          <w:kern w:val="0"/>
          <w:sz w:val="32"/>
          <w:szCs w:val="32"/>
          <w:highlight w:val="none"/>
          <w:lang w:val="en-US" w:eastAsia="zh-CN" w:bidi="ar-SA"/>
        </w:rPr>
        <w:t>部分基金产品未在约定期限内向</w:t>
      </w:r>
      <w:r>
        <w:rPr>
          <w:rFonts w:hint="eastAsia" w:ascii="仿宋_GB2312" w:hAnsi="仿宋_GB2312" w:eastAsia="仿宋_GB2312" w:cs="仿宋_GB2312"/>
          <w:b w:val="0"/>
          <w:bCs w:val="0"/>
          <w:kern w:val="0"/>
          <w:sz w:val="32"/>
          <w:szCs w:val="32"/>
          <w:highlight w:val="none"/>
          <w:lang w:val="en-US" w:eastAsia="zh-CN" w:bidi="ar-SA"/>
        </w:rPr>
        <w:t>投资者披露季度报告；个别基金产品合同中未约定信息披露内容，且未向投资者披露定期报告。上述行为</w:t>
      </w:r>
      <w:r>
        <w:rPr>
          <w:rFonts w:hint="eastAsia" w:ascii="仿宋_GB2312" w:hAnsi="仿宋_GB2312" w:eastAsia="仿宋_GB2312" w:cs="仿宋_GB2312"/>
          <w:b w:val="0"/>
          <w:bCs w:val="0"/>
          <w:i w:val="0"/>
          <w:iCs w:val="0"/>
          <w:caps w:val="0"/>
          <w:spacing w:val="0"/>
          <w:kern w:val="0"/>
          <w:sz w:val="32"/>
          <w:szCs w:val="20"/>
          <w:highlight w:val="none"/>
          <w:shd w:val="clear" w:color="auto" w:fill="auto"/>
          <w:lang w:val="en-US" w:eastAsia="zh-CN" w:bidi="ar-SA"/>
        </w:rPr>
        <w:t>违反了</w:t>
      </w:r>
      <w:r>
        <w:rPr>
          <w:rFonts w:hint="eastAsia" w:ascii="仿宋_GB2312" w:hAnsi="仿宋_GB2312" w:eastAsia="仿宋_GB2312" w:cs="仿宋_GB2312"/>
          <w:kern w:val="0"/>
          <w:sz w:val="32"/>
          <w:szCs w:val="32"/>
          <w:highlight w:val="none"/>
          <w:lang w:val="en-US" w:eastAsia="zh-CN" w:bidi="ar-SA"/>
        </w:rPr>
        <w:t>《私募办法》第二十四条的</w:t>
      </w:r>
      <w:r>
        <w:rPr>
          <w:rFonts w:hint="eastAsia" w:ascii="仿宋_GB2312" w:hAnsi="仿宋_GB2312" w:eastAsia="仿宋_GB2312" w:cs="仿宋_GB2312"/>
          <w:b w:val="0"/>
          <w:bCs w:val="0"/>
          <w:kern w:val="0"/>
          <w:sz w:val="32"/>
          <w:szCs w:val="32"/>
          <w:highlight w:val="none"/>
          <w:lang w:val="en-US" w:eastAsia="zh-CN" w:bidi="ar-SA"/>
        </w:rPr>
        <w:t>规定。</w:t>
      </w:r>
      <w:r>
        <w:rPr>
          <w:rFonts w:hint="eastAsia" w:ascii="仿宋_GB2312" w:hAnsi="宋体" w:eastAsia="仿宋_GB2312" w:cs="Times New Roman"/>
          <w:b/>
          <w:bCs/>
          <w:spacing w:val="0"/>
          <w:kern w:val="0"/>
          <w:sz w:val="32"/>
          <w:szCs w:val="32"/>
          <w:highlight w:val="none"/>
          <w:lang w:val="en-US" w:eastAsia="zh-CN" w:bidi="ar-SA"/>
        </w:rPr>
        <w:t>三是</w:t>
      </w:r>
      <w:r>
        <w:rPr>
          <w:rFonts w:hint="eastAsia" w:ascii="仿宋_GB2312" w:hAnsi="宋体" w:eastAsia="仿宋_GB2312" w:cs="Times New Roman"/>
          <w:b w:val="0"/>
          <w:bCs w:val="0"/>
          <w:spacing w:val="0"/>
          <w:kern w:val="0"/>
          <w:sz w:val="32"/>
          <w:szCs w:val="32"/>
          <w:highlight w:val="none"/>
          <w:lang w:val="en-US" w:eastAsia="zh-CN" w:bidi="ar-SA"/>
        </w:rPr>
        <w:t>未按合格投资者标准获取部分投资者的资产证明材料；未向部分投资者告知其风险识别、承担能力与基金产品风险等级的匹配关系。</w:t>
      </w:r>
      <w:r>
        <w:rPr>
          <w:rFonts w:hint="eastAsia" w:ascii="仿宋_GB2312" w:hAnsi="仿宋_GB2312" w:eastAsia="仿宋_GB2312" w:cs="仿宋_GB2312"/>
          <w:b w:val="0"/>
          <w:bCs w:val="0"/>
          <w:kern w:val="0"/>
          <w:sz w:val="32"/>
          <w:szCs w:val="32"/>
          <w:highlight w:val="none"/>
          <w:lang w:val="en-US" w:eastAsia="zh-CN" w:bidi="ar-SA"/>
        </w:rPr>
        <w:t>上述行为</w:t>
      </w:r>
      <w:r>
        <w:rPr>
          <w:rFonts w:hint="eastAsia" w:ascii="仿宋_GB2312" w:hAnsi="宋体" w:eastAsia="仿宋_GB2312" w:cs="Times New Roman"/>
          <w:b w:val="0"/>
          <w:bCs w:val="0"/>
          <w:spacing w:val="0"/>
          <w:kern w:val="0"/>
          <w:sz w:val="32"/>
          <w:szCs w:val="32"/>
          <w:highlight w:val="none"/>
          <w:lang w:val="en-US" w:eastAsia="zh-CN" w:bidi="ar-SA"/>
        </w:rPr>
        <w:t>违反了《私募办法》第四条第一款、第十二条第一款第二项的规定及</w:t>
      </w:r>
      <w:r>
        <w:rPr>
          <w:rFonts w:hint="eastAsia" w:ascii="仿宋_GB2312" w:hAnsi="仿宋_GB2312" w:eastAsia="仿宋_GB2312" w:cs="仿宋_GB2312"/>
          <w:b w:val="0"/>
          <w:bCs w:val="0"/>
          <w:i w:val="0"/>
          <w:iCs w:val="0"/>
          <w:caps w:val="0"/>
          <w:spacing w:val="0"/>
          <w:kern w:val="0"/>
          <w:sz w:val="32"/>
          <w:szCs w:val="20"/>
          <w:highlight w:val="none"/>
          <w:shd w:val="clear" w:color="auto" w:fill="auto"/>
          <w:lang w:val="en-US" w:eastAsia="zh-CN" w:bidi="ar-SA"/>
        </w:rPr>
        <w:t>《证券期货投资者适当性管理办法》（证监会令第130号，以下简称《适当性管理办法》）第三条、第二十九条第一款的规定</w:t>
      </w:r>
      <w:r>
        <w:rPr>
          <w:rFonts w:hint="eastAsia" w:ascii="仿宋_GB2312" w:hAnsi="仿宋_GB2312" w:eastAsia="仿宋_GB2312" w:cs="仿宋_GB2312"/>
          <w:kern w:val="0"/>
          <w:sz w:val="32"/>
          <w:szCs w:val="32"/>
          <w:highlight w:val="none"/>
          <w:lang w:val="en-US" w:eastAsia="zh-CN" w:bidi="ar-SA"/>
        </w:rPr>
        <w:t>。</w:t>
      </w:r>
      <w:r>
        <w:rPr>
          <w:rFonts w:hint="eastAsia" w:ascii="仿宋_GB2312" w:hAnsi="仿宋_GB2312" w:eastAsia="仿宋_GB2312" w:cs="仿宋_GB2312"/>
          <w:b/>
          <w:bCs/>
          <w:kern w:val="0"/>
          <w:sz w:val="32"/>
          <w:szCs w:val="32"/>
          <w:highlight w:val="none"/>
          <w:lang w:val="en-US" w:eastAsia="zh-CN" w:bidi="ar-SA"/>
        </w:rPr>
        <w:t>四是</w:t>
      </w:r>
      <w:r>
        <w:rPr>
          <w:rFonts w:hint="eastAsia" w:ascii="仿宋_GB2312" w:hAnsi="仿宋_GB2312" w:eastAsia="仿宋_GB2312" w:cs="仿宋_GB2312"/>
          <w:b w:val="0"/>
          <w:bCs w:val="0"/>
          <w:kern w:val="0"/>
          <w:sz w:val="32"/>
          <w:szCs w:val="32"/>
          <w:highlight w:val="none"/>
          <w:lang w:val="en-US" w:eastAsia="zh-CN" w:bidi="ar-SA"/>
        </w:rPr>
        <w:t>与关联方混同办公</w:t>
      </w:r>
      <w:r>
        <w:rPr>
          <w:rFonts w:hint="default" w:ascii="仿宋_GB2312" w:hAnsi="仿宋_GB2312" w:eastAsia="仿宋_GB2312" w:cs="仿宋_GB2312"/>
          <w:b w:val="0"/>
          <w:bCs w:val="0"/>
          <w:kern w:val="0"/>
          <w:sz w:val="32"/>
          <w:szCs w:val="32"/>
          <w:highlight w:val="none"/>
          <w:lang w:val="en-US" w:eastAsia="zh-CN" w:bidi="ar-SA"/>
        </w:rPr>
        <w:t>,</w:t>
      </w:r>
      <w:r>
        <w:rPr>
          <w:rFonts w:hint="eastAsia" w:ascii="仿宋_GB2312" w:hAnsi="仿宋_GB2312" w:eastAsia="仿宋_GB2312" w:cs="仿宋_GB2312"/>
          <w:b w:val="0"/>
          <w:bCs w:val="0"/>
          <w:kern w:val="0"/>
          <w:sz w:val="32"/>
          <w:szCs w:val="32"/>
          <w:highlight w:val="none"/>
          <w:lang w:val="en-US" w:eastAsia="zh-CN" w:bidi="ar-SA"/>
        </w:rPr>
        <w:t>业务开展不够谨慎。上述行为</w:t>
      </w:r>
      <w:r>
        <w:rPr>
          <w:rFonts w:hint="eastAsia" w:ascii="仿宋_GB2312" w:hAnsi="宋体" w:eastAsia="仿宋_GB2312" w:cs="Times New Roman"/>
          <w:b w:val="0"/>
          <w:bCs w:val="0"/>
          <w:spacing w:val="0"/>
          <w:kern w:val="0"/>
          <w:sz w:val="32"/>
          <w:szCs w:val="32"/>
          <w:highlight w:val="none"/>
          <w:lang w:val="en-US" w:eastAsia="zh-CN" w:bidi="ar-SA"/>
        </w:rPr>
        <w:t>违反了《私募办法》第四条第一款的规定。</w:t>
      </w:r>
    </w:p>
    <w:p w14:paraId="44017B1D">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12" w:lineRule="auto"/>
        <w:ind w:firstLine="640" w:firstLineChars="200"/>
        <w:jc w:val="both"/>
        <w:textAlignment w:val="auto"/>
        <w:outlineLvl w:val="9"/>
        <w:rPr>
          <w:rFonts w:hint="eastAsia" w:ascii="仿宋_GB2312" w:hAnsi="仿宋_GB2312" w:eastAsia="仿宋_GB2312" w:cs="仿宋_GB2312"/>
          <w:kern w:val="0"/>
          <w:sz w:val="32"/>
          <w:lang w:val="en-US" w:eastAsia="zh-CN" w:bidi="ar-SA"/>
        </w:rPr>
      </w:pPr>
      <w:r>
        <w:rPr>
          <w:rFonts w:hint="eastAsia" w:ascii="仿宋_GB2312" w:hAnsi="仿宋_GB2312" w:eastAsia="仿宋_GB2312" w:cs="仿宋"/>
          <w:color w:val="auto"/>
          <w:kern w:val="0"/>
          <w:sz w:val="32"/>
          <w:szCs w:val="30"/>
          <w:lang w:val="en-US" w:eastAsia="zh-CN" w:bidi="ar-SA"/>
        </w:rPr>
        <w:t>根据</w:t>
      </w:r>
      <w:r>
        <w:rPr>
          <w:rFonts w:hint="eastAsia" w:ascii="仿宋_GB2312" w:hAnsi="宋体" w:eastAsia="仿宋_GB2312" w:cs="Times New Roman"/>
          <w:b w:val="0"/>
          <w:bCs w:val="0"/>
          <w:spacing w:val="0"/>
          <w:kern w:val="0"/>
          <w:sz w:val="32"/>
          <w:szCs w:val="32"/>
          <w:highlight w:val="none"/>
          <w:lang w:val="en-US" w:eastAsia="zh-CN" w:bidi="ar-SA"/>
        </w:rPr>
        <w:t>《私募办法》</w:t>
      </w:r>
      <w:r>
        <w:rPr>
          <w:rFonts w:hint="eastAsia" w:ascii="仿宋_GB2312" w:hAnsi="仿宋_GB2312" w:eastAsia="仿宋_GB2312" w:cs="仿宋"/>
          <w:color w:val="auto"/>
          <w:kern w:val="0"/>
          <w:sz w:val="32"/>
          <w:szCs w:val="30"/>
          <w:lang w:val="en-US" w:eastAsia="zh-CN" w:bidi="ar-SA"/>
        </w:rPr>
        <w:t>第三十三条、《适当性管理办法》第三十七条</w:t>
      </w:r>
      <w:r>
        <w:rPr>
          <w:rFonts w:hint="eastAsia" w:ascii="仿宋_GB2312" w:hAnsi="宋体" w:eastAsia="仿宋_GB2312" w:cs="Times New Roman"/>
          <w:color w:val="000000"/>
          <w:spacing w:val="0"/>
          <w:kern w:val="0"/>
          <w:sz w:val="32"/>
          <w:szCs w:val="32"/>
          <w:lang w:val="en-US" w:eastAsia="zh-CN" w:bidi="ar-SA"/>
        </w:rPr>
        <w:t>和</w:t>
      </w:r>
      <w:r>
        <w:rPr>
          <w:rFonts w:hint="eastAsia" w:ascii="仿宋_GB2312" w:hAnsi="仿宋_GB2312" w:eastAsia="仿宋_GB2312" w:cs="仿宋"/>
          <w:color w:val="auto"/>
          <w:kern w:val="0"/>
          <w:sz w:val="32"/>
          <w:szCs w:val="30"/>
          <w:lang w:val="en-US" w:eastAsia="zh-CN" w:bidi="ar-SA"/>
        </w:rPr>
        <w:t>《若干规定》第十三条第一款的规定</w:t>
      </w:r>
      <w:r>
        <w:rPr>
          <w:rFonts w:hint="eastAsia" w:ascii="仿宋_GB2312" w:hAnsi="仿宋_GB2312" w:eastAsia="仿宋_GB2312" w:cs="仿宋"/>
          <w:color w:val="auto"/>
          <w:kern w:val="0"/>
          <w:sz w:val="32"/>
          <w:szCs w:val="30"/>
          <w:highlight w:val="none"/>
          <w:lang w:val="en-US" w:eastAsia="zh-CN" w:bidi="ar-SA"/>
        </w:rPr>
        <w:t>，我局决定对你公司采取责令改正的行政监管措施。你公司应高度重视，采取切实有效的措施，对存在的问题进行整改，对相关责任人员进行问责，并在收到本决定书之</w:t>
      </w:r>
      <w:r>
        <w:rPr>
          <w:rFonts w:hint="eastAsia" w:ascii="仿宋_GB2312" w:hAnsi="仿宋_GB2312" w:eastAsia="仿宋_GB2312" w:cs="仿宋"/>
          <w:color w:val="auto"/>
          <w:kern w:val="0"/>
          <w:sz w:val="32"/>
          <w:szCs w:val="30"/>
          <w:lang w:val="en-US" w:eastAsia="zh-CN" w:bidi="ar-SA"/>
        </w:rPr>
        <w:t>日起30日内向我局提交书面整改报告。</w:t>
      </w:r>
    </w:p>
    <w:p w14:paraId="334D1BA8">
      <w:pPr>
        <w:overflowPunct w:val="0"/>
        <w:adjustRightInd w:val="0"/>
        <w:snapToGrid w:val="0"/>
        <w:spacing w:beforeLines="0" w:afterLines="0" w:line="312" w:lineRule="auto"/>
        <w:ind w:firstLine="640" w:firstLineChars="200"/>
        <w:jc w:val="both"/>
        <w:rPr>
          <w:rFonts w:hint="eastAsia" w:ascii="仿宋_GB2312" w:hAnsi="仿宋_GB2312" w:eastAsia="仿宋_GB2312" w:cs="仿宋_GB2312"/>
          <w:sz w:val="32"/>
        </w:rPr>
      </w:pPr>
      <w:r>
        <w:rPr>
          <w:rFonts w:hint="eastAsia" w:ascii="仿宋_GB2312" w:hAnsi="仿宋_GB2312" w:eastAsia="仿宋_GB2312" w:cs="仿宋_GB2312"/>
          <w:sz w:val="32"/>
        </w:rPr>
        <w:t>如果对本监督管理措施不服，可以在收到本决定书之日起60日内向中国证券监督管理委员会提出行政复议申请</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也可以在收到本决定书之日起6个月内向有管辖权的人民法院提起诉讼。复议与诉讼期间，上述监督管理措施不停止执行。</w:t>
      </w:r>
    </w:p>
    <w:p w14:paraId="0410E975">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2"/>
          <w:szCs w:val="22"/>
        </w:rPr>
      </w:pPr>
    </w:p>
    <w:p w14:paraId="67822458">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2"/>
          <w:szCs w:val="22"/>
        </w:rPr>
      </w:pPr>
    </w:p>
    <w:p w14:paraId="0E5B9E2F">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2"/>
          <w:szCs w:val="22"/>
        </w:rPr>
      </w:pPr>
    </w:p>
    <w:p w14:paraId="1C84CD71">
      <w:pPr>
        <w:overflowPunct w:val="0"/>
        <w:adjustRightInd w:val="0"/>
        <w:snapToGrid w:val="0"/>
        <w:spacing w:line="360" w:lineRule="auto"/>
        <w:ind w:right="1705"/>
        <w:jc w:val="right"/>
        <w:rPr>
          <w:rFonts w:hint="eastAsia" w:ascii="仿宋_GB2312" w:hAnsi="Times New Roman" w:eastAsia="仿宋_GB2312" w:cs="Times New Roman"/>
          <w:color w:val="000000"/>
          <w:sz w:val="32"/>
          <w:szCs w:val="24"/>
        </w:rPr>
      </w:pPr>
      <w:r>
        <w:rPr>
          <w:rFonts w:hint="eastAsia" w:ascii="仿宋_GB2312" w:hAnsi="Times New Roman" w:eastAsia="仿宋_GB2312" w:cs="Times New Roman"/>
          <w:color w:val="000000"/>
          <w:sz w:val="32"/>
          <w:szCs w:val="24"/>
        </w:rPr>
        <w:t>广东证监局</w:t>
      </w:r>
    </w:p>
    <w:p w14:paraId="6F802420">
      <w:pPr>
        <w:keepNext w:val="0"/>
        <w:keepLines w:val="0"/>
        <w:pageBreakBefore w:val="0"/>
        <w:widowControl/>
        <w:numPr>
          <w:ilvl w:val="0"/>
          <w:numId w:val="0"/>
        </w:numPr>
        <w:pBdr>
          <w:top w:val="none" w:color="auto" w:sz="0" w:space="0"/>
          <w:bottom w:val="none" w:color="auto" w:sz="0" w:space="0"/>
        </w:pBdr>
        <w:kinsoku/>
        <w:wordWrap/>
        <w:overflowPunct w:val="0"/>
        <w:topLinePunct w:val="0"/>
        <w:autoSpaceDE/>
        <w:autoSpaceDN/>
        <w:bidi w:val="0"/>
        <w:adjustRightInd w:val="0"/>
        <w:snapToGrid w:val="0"/>
        <w:spacing w:beforeLines="0" w:afterLines="0" w:line="360" w:lineRule="auto"/>
        <w:ind w:right="0"/>
        <w:jc w:val="center"/>
        <w:textAlignment w:val="auto"/>
        <w:outlineLvl w:val="9"/>
        <w:rPr>
          <w:rFonts w:hint="eastAsia" w:ascii="黑体" w:hAnsi="Calibri" w:eastAsia="黑体" w:cs="Times New Roman"/>
          <w:spacing w:val="8"/>
          <w:sz w:val="32"/>
          <w:szCs w:val="24"/>
        </w:rPr>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6</w:t>
      </w:r>
      <w:r>
        <w:rPr>
          <w:rFonts w:hint="eastAsia" w:ascii="仿宋_GB2312" w:hAnsi="Times New Roman" w:eastAsia="仿宋_GB2312" w:cs="Times New Roman"/>
          <w:color w:val="000000"/>
          <w:spacing w:val="10"/>
          <w:sz w:val="32"/>
          <w:szCs w:val="32"/>
        </w:rPr>
        <w:t>年</w:t>
      </w:r>
      <w:r>
        <w:rPr>
          <w:rFonts w:hint="default" w:ascii="仿宋_GB2312" w:hAnsi="Calibri" w:eastAsia="仿宋_GB2312" w:cs="Times New Roman"/>
          <w:color w:val="000000"/>
          <w:spacing w:val="10"/>
          <w:sz w:val="32"/>
          <w:szCs w:val="32"/>
          <w:lang w:val="en-US" w:eastAsia="zh-CN"/>
        </w:rPr>
        <w:t>4</w:t>
      </w:r>
      <w:r>
        <w:rPr>
          <w:rFonts w:hint="eastAsia" w:ascii="仿宋_GB2312" w:hAnsi="Times New Roman" w:eastAsia="仿宋_GB2312" w:cs="Times New Roman"/>
          <w:color w:val="000000"/>
          <w:spacing w:val="10"/>
          <w:sz w:val="32"/>
          <w:szCs w:val="32"/>
        </w:rPr>
        <w:t>月</w:t>
      </w:r>
      <w:r>
        <w:rPr>
          <w:rFonts w:hint="default" w:ascii="仿宋_GB2312" w:hAnsi="Calibri" w:eastAsia="宋体" w:cs="Times New Roman"/>
          <w:color w:val="000000"/>
          <w:spacing w:val="10"/>
          <w:sz w:val="32"/>
          <w:szCs w:val="32"/>
          <w:lang w:val="en-US" w:eastAsia="zh-CN"/>
        </w:rPr>
        <w:t>8</w:t>
      </w:r>
      <w:r>
        <w:rPr>
          <w:rFonts w:hint="eastAsia" w:ascii="仿宋_GB2312" w:hAnsi="Times New Roman" w:eastAsia="仿宋_GB2312" w:cs="Times New Roman"/>
          <w:color w:val="000000"/>
          <w:spacing w:val="10"/>
          <w:sz w:val="32"/>
          <w:szCs w:val="32"/>
        </w:rPr>
        <w:t>日</w:t>
      </w:r>
    </w:p>
    <w:p w14:paraId="23CE1881">
      <w:pPr>
        <w:widowControl w:val="0"/>
        <w:snapToGrid w:val="0"/>
        <w:spacing w:line="360" w:lineRule="auto"/>
        <w:ind w:firstLine="480" w:firstLineChars="200"/>
        <w:jc w:val="both"/>
        <w:textAlignment w:val="baseline"/>
        <w:rPr>
          <w:rFonts w:hint="eastAsia" w:ascii="Times New Roman" w:hAnsi="Times New Roman" w:eastAsia="宋体" w:cs="Times New Roman"/>
          <w:kern w:val="0"/>
          <w:sz w:val="24"/>
          <w:szCs w:val="22"/>
          <w:lang w:val="en-US" w:eastAsia="zh-CN" w:bidi="ar-SA"/>
        </w:rPr>
      </w:pPr>
    </w:p>
    <w:p w14:paraId="7E1D9163">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296" w:firstLineChars="100"/>
        <w:textAlignment w:val="auto"/>
        <w:rPr>
          <w:rFonts w:hint="eastAsia" w:ascii="仿宋_GB2312" w:hAnsi="Times New Roman" w:eastAsia="仿宋_GB2312" w:cs="Times New Roman"/>
          <w:spacing w:val="8"/>
          <w:sz w:val="28"/>
          <w:lang w:val="en-US" w:eastAsia="zh-CN"/>
        </w:rPr>
      </w:pPr>
      <w:r>
        <w:rPr>
          <w:rFonts w:hint="eastAsia" w:ascii="仿宋_GB2312" w:hAnsi="Times New Roman" w:eastAsia="仿宋_GB2312" w:cs="Times New Roman"/>
          <w:spacing w:val="8"/>
          <w:sz w:val="28"/>
        </w:rPr>
        <w:t>抄送：证监会市场二司、法治司；中国证券投资基金业协会</w:t>
      </w:r>
    </w:p>
    <w:p w14:paraId="5543D6E1">
      <w:pPr>
        <w:pBdr>
          <w:top w:val="single" w:color="auto" w:sz="4" w:space="6"/>
        </w:pBdr>
        <w:adjustRightInd w:val="0"/>
        <w:snapToGrid w:val="0"/>
        <w:spacing w:after="109" w:afterLines="35"/>
        <w:ind w:firstLine="318"/>
        <w:jc w:val="left"/>
        <w:rPr>
          <w:rFonts w:hint="eastAsia" w:ascii="仿宋_GB2312" w:hAnsi="Times New Roman" w:eastAsia="仿宋_GB2312" w:cs="Times New Roman"/>
          <w:spacing w:val="8"/>
          <w:sz w:val="2"/>
          <w:szCs w:val="2"/>
        </w:rPr>
      </w:pPr>
      <w:r>
        <w:rPr>
          <w:rFonts w:hint="eastAsia" w:ascii="仿宋_GB2312" w:hAnsi="Times New Roman" w:eastAsia="仿宋_GB2312" w:cs="Times New Roman"/>
          <w:spacing w:val="8"/>
          <w:sz w:val="28"/>
        </w:rPr>
        <w:t xml:space="preserve">广东证监局办公室             </w:t>
      </w:r>
      <w:r>
        <w:rPr>
          <w:rFonts w:hint="default" w:ascii="仿宋_GB2312" w:hAnsi="Times New Roman" w:eastAsia="仿宋_GB2312" w:cs="Times New Roman"/>
          <w:spacing w:val="8"/>
          <w:sz w:val="28"/>
          <w:lang w:val="en-US"/>
        </w:rPr>
        <w:t xml:space="preserve">   </w:t>
      </w:r>
      <w:r>
        <w:rPr>
          <w:rFonts w:hint="eastAsia" w:ascii="仿宋_GB2312" w:hAnsi="Times New Roman" w:eastAsia="仿宋_GB2312" w:cs="Times New Roman"/>
          <w:spacing w:val="8"/>
          <w:sz w:val="28"/>
        </w:rPr>
        <w:t xml:space="preserve"> </w:t>
      </w:r>
      <w:r>
        <w:rPr>
          <w:rFonts w:hint="default" w:ascii="仿宋_GB2312" w:hAnsi="Times New Roman" w:eastAsia="仿宋_GB2312" w:cs="Times New Roman"/>
          <w:spacing w:val="8"/>
          <w:sz w:val="28"/>
          <w:lang w:val="en-US"/>
        </w:rPr>
        <w:t xml:space="preserve">  </w:t>
      </w:r>
      <w:r>
        <w:rPr>
          <w:rFonts w:hint="eastAsia" w:ascii="仿宋_GB2312" w:hAnsi="Times New Roman" w:eastAsia="仿宋_GB2312" w:cs="Times New Roman"/>
          <w:spacing w:val="8"/>
          <w:sz w:val="28"/>
        </w:rPr>
        <w:t xml:space="preserve"> </w:t>
      </w:r>
      <w:r>
        <w:rPr>
          <w:rFonts w:hint="default" w:ascii="仿宋_GB2312" w:hAnsi="Times New Roman" w:eastAsia="仿宋_GB2312" w:cs="Times New Roman"/>
          <w:spacing w:val="8"/>
          <w:sz w:val="28"/>
          <w:lang w:val="en" w:eastAsia="zh-CN"/>
        </w:rPr>
        <w:t>202</w:t>
      </w:r>
      <w:r>
        <w:rPr>
          <w:rFonts w:hint="eastAsia" w:ascii="仿宋_GB2312" w:hAnsi="Times New Roman" w:eastAsia="仿宋_GB2312" w:cs="Times New Roman"/>
          <w:spacing w:val="8"/>
          <w:sz w:val="28"/>
          <w:lang w:val="en-US" w:eastAsia="zh-CN"/>
        </w:rPr>
        <w:t>6</w:t>
      </w:r>
      <w:r>
        <w:rPr>
          <w:rFonts w:hint="eastAsia" w:ascii="仿宋_GB2312" w:hAnsi="Times New Roman" w:eastAsia="仿宋_GB2312" w:cs="Times New Roman"/>
          <w:spacing w:val="8"/>
          <w:sz w:val="28"/>
        </w:rPr>
        <w:t>年</w:t>
      </w:r>
      <w:r>
        <w:rPr>
          <w:rFonts w:hint="eastAsia" w:ascii="仿宋_GB2312" w:hAnsi="Times New Roman" w:eastAsia="仿宋_GB2312" w:cs="Times New Roman"/>
          <w:spacing w:val="8"/>
          <w:sz w:val="28"/>
          <w:lang w:val="en-US" w:eastAsia="zh-CN"/>
        </w:rPr>
        <w:t>4</w:t>
      </w:r>
      <w:r>
        <w:rPr>
          <w:rFonts w:hint="eastAsia" w:ascii="仿宋_GB2312" w:hAnsi="Times New Roman" w:eastAsia="仿宋_GB2312" w:cs="Times New Roman"/>
          <w:spacing w:val="8"/>
          <w:sz w:val="28"/>
        </w:rPr>
        <w:t>月</w:t>
      </w:r>
      <w:r>
        <w:rPr>
          <w:rFonts w:hint="default" w:ascii="仿宋_GB2312" w:hAnsi="Times New Roman" w:eastAsia="仿宋_GB2312" w:cs="Times New Roman"/>
          <w:spacing w:val="8"/>
          <w:sz w:val="28"/>
          <w:lang w:val="en-US" w:eastAsia="zh-CN"/>
        </w:rPr>
        <w:t>8</w:t>
      </w:r>
      <w:r>
        <w:rPr>
          <w:rFonts w:hint="eastAsia" w:ascii="仿宋_GB2312" w:hAnsi="Times New Roman" w:eastAsia="仿宋_GB2312" w:cs="Times New Roman"/>
          <w:spacing w:val="8"/>
          <w:sz w:val="28"/>
        </w:rPr>
        <w:t>日印发</w:t>
      </w:r>
      <w:bookmarkStart w:id="2" w:name="_GoBack"/>
      <w:bookmarkEnd w:id="2"/>
    </w:p>
    <w:p w14:paraId="0DD98656">
      <w:pPr>
        <w:snapToGrid w:val="0"/>
        <w:rPr>
          <w:rFonts w:ascii="Times New Roman" w:hAnsi="Times New Roman" w:eastAsia="宋体" w:cs="Times New Roman"/>
          <w:sz w:val="2"/>
          <w:szCs w:val="2"/>
        </w:rPr>
      </w:pPr>
    </w:p>
    <w:bookmarkEnd w:id="1"/>
    <w:p w14:paraId="4060D837">
      <w:pPr>
        <w:keepNext w:val="0"/>
        <w:keepLines w:val="0"/>
        <w:pageBreakBefore w:val="0"/>
        <w:widowControl w:val="0"/>
        <w:pBdr>
          <w:top w:val="single" w:color="auto" w:sz="8" w:space="7"/>
        </w:pBdr>
        <w:kinsoku/>
        <w:wordWrap/>
        <w:overflowPunct w:val="0"/>
        <w:topLinePunct w:val="0"/>
        <w:autoSpaceDE/>
        <w:autoSpaceDN/>
        <w:bidi w:val="0"/>
        <w:adjustRightInd/>
        <w:snapToGrid w:val="0"/>
        <w:spacing w:beforeLines="0" w:after="0" w:afterLines="0"/>
        <w:ind w:firstLine="0"/>
        <w:jc w:val="left"/>
        <w:textAlignment w:val="auto"/>
        <w:outlineLvl w:val="9"/>
        <w:rPr>
          <w:rFonts w:hint="default" w:ascii="仿宋_GB2312" w:hAnsi="Times New Roman" w:eastAsia="仿宋_GB2312" w:cs="Times New Roman"/>
          <w:color w:val="auto"/>
          <w:spacing w:val="8"/>
          <w:sz w:val="2"/>
          <w:szCs w:val="2"/>
          <w:highlight w:val="none"/>
          <w:u w:val="none"/>
          <w:lang w:val="en-US" w:eastAsia="zh-CN"/>
        </w:rPr>
      </w:pPr>
    </w:p>
    <w:sectPr>
      <w:footerReference r:id="rId3" w:type="default"/>
      <w:pgSz w:w="11906" w:h="16838"/>
      <w:pgMar w:top="2097" w:right="1474" w:bottom="1984" w:left="1587" w:header="851" w:footer="1587"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长城仿宋">
    <w:altName w:val="方正仿宋_GBK"/>
    <w:panose1 w:val="02010609000101010101"/>
    <w:charset w:val="00"/>
    <w:family w:val="roma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CBFDA">
    <w:pPr>
      <w:pStyle w:val="3"/>
      <w:spacing w:line="240" w:lineRule="auto"/>
      <w:rPr>
        <w:rFonts w:hint="eastAsia" w:ascii="宋体" w:hAnsi="宋体" w:eastAsia="宋体" w:cs="宋体"/>
        <w:sz w:val="28"/>
        <w:lang w:val="en-US"/>
      </w:rPr>
    </w:pPr>
    <w:r>
      <w:rPr>
        <w:rFonts w:hint="eastAsia" w:ascii="宋体" w:hAnsi="宋体" w:eastAsia="宋体" w:cs="宋体"/>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97B9E">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1F97B9E">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FFCA52"/>
    <w:rsid w:val="37F7ECCD"/>
    <w:rsid w:val="3C2D4CF7"/>
    <w:rsid w:val="3DFF0368"/>
    <w:rsid w:val="57ADF48A"/>
    <w:rsid w:val="5B7DDD7E"/>
    <w:rsid w:val="76FAF877"/>
    <w:rsid w:val="79EB018F"/>
    <w:rsid w:val="7E77E416"/>
    <w:rsid w:val="7F74A23B"/>
    <w:rsid w:val="AE7924AC"/>
    <w:rsid w:val="B5EFB3DF"/>
    <w:rsid w:val="CED2F0AF"/>
    <w:rsid w:val="DB6735EE"/>
    <w:rsid w:val="DDDA86FC"/>
    <w:rsid w:val="DFF1E38E"/>
    <w:rsid w:val="EFFF4CB3"/>
    <w:rsid w:val="F5FC3FC8"/>
    <w:rsid w:val="F69F4E14"/>
    <w:rsid w:val="F73AFA9C"/>
    <w:rsid w:val="F97F336B"/>
    <w:rsid w:val="FAFFCA52"/>
    <w:rsid w:val="FBCF5C1A"/>
    <w:rsid w:val="FEDFD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jc w:val="center"/>
    </w:pPr>
    <w:rPr>
      <w:rFonts w:eastAsia="黑体"/>
      <w:kern w:val="0"/>
      <w:sz w:val="44"/>
    </w:rPr>
  </w:style>
  <w:style w:type="paragraph" w:styleId="3">
    <w:name w:val="footer"/>
    <w:basedOn w:val="1"/>
    <w:qFormat/>
    <w:uiPriority w:val="0"/>
    <w:pPr>
      <w:tabs>
        <w:tab w:val="center" w:pos="4153"/>
        <w:tab w:val="right" w:pos="8306"/>
      </w:tabs>
      <w:snapToGrid w:val="0"/>
      <w:jc w:val="left"/>
    </w:pPr>
    <w:rPr>
      <w:rFonts w:ascii="Calibri" w:hAnsi="Calibri" w:eastAsia="宋体" w:cs="Times New Roman"/>
      <w:sz w:val="2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ormalIndent"/>
    <w:basedOn w:val="1"/>
    <w:next w:val="1"/>
    <w:qFormat/>
    <w:uiPriority w:val="0"/>
    <w:pPr>
      <w:ind w:firstLine="880" w:firstLineChars="200"/>
      <w:textAlignment w:val="baseline"/>
    </w:pPr>
    <w:rPr>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2026-04-07T09:20:00Z</dcterms:created>
  <dc:creator>李君达</dc:creator>
  <cp:lastModifiedBy>于晓雷</cp:lastModifiedBy>
  <cp:lastPrinted>2026-04-05T23:13:00Z</cp:lastPrinted>
  <dcterms:modified xsi:type="dcterms:W3CDTF">2026-04-17T09:30:51Z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C6785F2CABCCEEF5DDE8DE69F3BDAD48</vt:lpwstr>
  </property>
</Properties>
</file>