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 w:cs="Times New Roman"/>
          <w:b/>
          <w:color w:val="FF0000"/>
          <w:w w:val="95"/>
          <w:kern w:val="0"/>
          <w:sz w:val="44"/>
          <w:szCs w:val="116"/>
        </w:rPr>
      </w:pPr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 w:cs="Times New Roman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 w:cs="Times New Roman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28"/>
          <w:szCs w:val="28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  <w:szCs w:val="20"/>
        </w:rPr>
      </w:pPr>
      <w:bookmarkStart w:id="0" w:name="WH"/>
      <w:bookmarkEnd w:id="0"/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〔20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26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〕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44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号</w:t>
      </w:r>
    </w:p>
    <w:p>
      <w:pPr>
        <w:snapToGrid w:val="0"/>
        <w:jc w:val="center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ascii="Times New Roman" w:hAnsi="Times New Roman" w:eastAsia="宋体" w:cs="Times New Roman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MwvtZLWAAAACAEAAA8AAAAAAAAA&#10;AQAgAAAAOAAAAGRycy9kb3ducmV2LnhtbFBLAQIUABQAAAAIAIdO4kAV8uZj/QEAAPUDAAAOAAAA&#10;AAAAAAEAIAAAADsBAABkcnMvZTJvRG9jLnhtbFBLBQYAAAAABgAGAFkBAACq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Times New Roman" w:hAnsi="Times New Roman" w:eastAsia="宋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  <w:lang w:val="en" w:eastAsia="zh-CN" w:bidi="ar-SA"/>
        </w:rPr>
      </w:pPr>
      <w:bookmarkStart w:id="1" w:name="quanwen"/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  <w:lang w:val="en-US" w:eastAsia="zh-CN" w:bidi="ar-SA"/>
        </w:rPr>
        <w:t>关于对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  <w:lang w:val="en" w:eastAsia="zh-CN" w:bidi="ar-SA"/>
        </w:rPr>
        <w:t>恒正嘉华（广东）私募基金管理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  <w:lang w:val="en" w:eastAsia="zh-CN" w:bidi="ar-SA"/>
        </w:rPr>
        <w:t>有限公司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  <w:lang w:val="en-US" w:eastAsia="zh-CN" w:bidi="ar-SA"/>
        </w:rPr>
        <w:t>采取责令改正措施的决定</w:t>
      </w:r>
    </w:p>
    <w:p>
      <w:pPr>
        <w:snapToGrid w:val="0"/>
        <w:spacing w:beforeLines="0" w:afterLines="0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val="en" w:eastAsia="zh-CN"/>
        </w:rPr>
        <w:t>恒正嘉华（广东）私募基金管理有限公司：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  <w:t>经查，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4"/>
          <w:highlight w:val="none"/>
          <w:lang w:val="en-US" w:eastAsia="zh-CN"/>
        </w:rPr>
        <w:t>你公司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存在以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下违规情形：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一是以从事资金募集活动为目的，在山西等多地设立分支机构，违反了《私募投资基金监督管理暂行办法》（证监会令第105号，以下简称《私募办法》）第二十三条第九项和《关于加强私募投资基金监管的若干规定》（证监会公告〔2020〕71号，以下简称《若干规定》）第六条第一款第九项的规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二是委托不具有基金销售业务资格的个人从事资金募集活动，违反了《私募办法》第二十三条第九项和《若干规定》第六条第一款第八项的规定。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"/>
          <w:color w:val="auto"/>
          <w:sz w:val="32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"/>
          <w:color w:val="auto"/>
          <w:sz w:val="32"/>
          <w:szCs w:val="30"/>
          <w:highlight w:val="none"/>
          <w:lang w:val="en-US" w:eastAsia="zh-CN"/>
        </w:rPr>
        <w:t>根据《私募办法》第三十三条以及《若干规定》第十三条第一款的规定，我局决定对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4"/>
          <w:highlight w:val="none"/>
          <w:lang w:val="en-US" w:eastAsia="zh-CN"/>
        </w:rPr>
        <w:t>你公司</w:t>
      </w:r>
      <w:r>
        <w:rPr>
          <w:rFonts w:hint="eastAsia" w:ascii="仿宋_GB2312" w:hAnsi="仿宋_GB2312" w:eastAsia="仿宋_GB2312" w:cs="仿宋"/>
          <w:color w:val="auto"/>
          <w:sz w:val="32"/>
          <w:szCs w:val="30"/>
          <w:highlight w:val="none"/>
          <w:lang w:val="en-US" w:eastAsia="zh-CN"/>
        </w:rPr>
        <w:t>采取责令改正的行政监管措施。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4"/>
          <w:highlight w:val="none"/>
          <w:lang w:val="en-US" w:eastAsia="zh-CN"/>
        </w:rPr>
        <w:t>你公司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</w:rPr>
        <w:t>应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eastAsia="zh-CN"/>
        </w:rPr>
        <w:t>高度重视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eastAsia="zh-CN"/>
        </w:rPr>
        <w:t>采取切实</w:t>
      </w:r>
      <w:r>
        <w:rPr>
          <w:rFonts w:hint="eastAsia" w:ascii="仿宋_GB2312" w:hAnsi="仿宋_GB2312" w:eastAsia="仿宋_GB2312" w:cs="仿宋_GB2312"/>
          <w:spacing w:val="0"/>
          <w:sz w:val="32"/>
          <w:szCs w:val="24"/>
          <w:highlight w:val="none"/>
          <w:lang w:eastAsia="zh-CN"/>
        </w:rPr>
        <w:t>有效的措施</w:t>
      </w:r>
      <w:r>
        <w:rPr>
          <w:rFonts w:hint="eastAsia" w:ascii="仿宋_GB2312" w:hAnsi="仿宋_GB2312" w:eastAsia="仿宋_GB2312" w:cs="仿宋_GB2312"/>
          <w:spacing w:val="0"/>
          <w:sz w:val="32"/>
          <w:szCs w:val="24"/>
          <w:highlight w:val="none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24"/>
          <w:highlight w:val="none"/>
          <w:lang w:eastAsia="zh-CN"/>
        </w:rPr>
        <w:t>对存在的问题进行整改，对相关责任人员进行问责，并在收到本决定书之日起</w:t>
      </w:r>
      <w:r>
        <w:rPr>
          <w:rFonts w:hint="eastAsia" w:ascii="仿宋_GB2312" w:hAnsi="仿宋_GB2312" w:eastAsia="仿宋_GB2312" w:cs="仿宋_GB2312"/>
          <w:spacing w:val="0"/>
          <w:sz w:val="32"/>
          <w:szCs w:val="24"/>
          <w:highlight w:val="none"/>
          <w:lang w:val="en-US" w:eastAsia="zh-CN"/>
        </w:rPr>
        <w:t>30日内</w:t>
      </w:r>
      <w:r>
        <w:rPr>
          <w:rFonts w:hint="eastAsia" w:ascii="仿宋_GB2312" w:hAnsi="仿宋_GB2312" w:eastAsia="仿宋_GB2312" w:cs="仿宋_GB2312"/>
          <w:spacing w:val="0"/>
          <w:sz w:val="32"/>
          <w:szCs w:val="24"/>
          <w:highlight w:val="none"/>
          <w:lang w:eastAsia="zh-CN"/>
        </w:rPr>
        <w:t>向我局</w:t>
      </w:r>
      <w:r>
        <w:rPr>
          <w:rFonts w:hint="eastAsia" w:ascii="仿宋_GB2312" w:hAnsi="仿宋_GB2312" w:eastAsia="仿宋_GB2312" w:cs="仿宋_GB2312"/>
          <w:spacing w:val="0"/>
          <w:sz w:val="32"/>
          <w:szCs w:val="24"/>
          <w:highlight w:val="none"/>
        </w:rPr>
        <w:t>提交书面整改报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</w:rPr>
        <w:t>告</w:t>
      </w:r>
      <w:r>
        <w:rPr>
          <w:rFonts w:hint="eastAsia" w:ascii="仿宋_GB2312" w:hAnsi="仿宋_GB2312" w:eastAsia="仿宋_GB2312" w:cs="仿宋"/>
          <w:color w:val="auto"/>
          <w:sz w:val="32"/>
          <w:szCs w:val="30"/>
          <w:highlight w:val="none"/>
          <w:lang w:val="en-US" w:eastAsia="zh-CN"/>
        </w:rPr>
        <w:t>。</w:t>
      </w:r>
    </w:p>
    <w:p>
      <w:pPr>
        <w:overflowPunct w:val="0"/>
        <w:adjustRightInd w:val="0"/>
        <w:snapToGrid w:val="0"/>
        <w:spacing w:beforeLines="0" w:afterLines="0" w:line="336" w:lineRule="auto"/>
        <w:ind w:firstLine="640" w:firstLineChars="20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4"/>
          <w:highlight w:val="none"/>
          <w:lang w:val="en-US" w:eastAsia="zh-CN"/>
        </w:rPr>
        <w:t>你公司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</w:rPr>
        <w:t>如果对本监督管理措施不服，可以在收到本决定书之日起60日内向中国证券监督管理委员会提出行政复议申请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</w:rPr>
        <w:t>也可以在收到本决定书之日起6个月内向有管辖权的人民法院提起诉讼。复议与诉讼期间，上述监督管理措施不停止执行。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24"/>
        </w:rPr>
        <w:t>广东证监局</w:t>
      </w:r>
    </w:p>
    <w:p>
      <w:pPr>
        <w:widowControl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Lines="0" w:line="360" w:lineRule="auto"/>
        <w:jc w:val="center"/>
        <w:outlineLvl w:val="9"/>
        <w:rPr>
          <w:rFonts w:ascii="Calibri" w:hAnsi="Calibri" w:eastAsia="宋体" w:cs="Times New Roman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hAnsi="Calibri" w:eastAsia="仿宋_GB2312" w:cs="Times New Roman"/>
          <w:color w:val="000000"/>
          <w:spacing w:val="1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hAnsi="Calibri" w:eastAsia="宋体" w:cs="Times New Roman"/>
          <w:color w:val="000000"/>
          <w:spacing w:val="10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widowControl w:val="0"/>
        <w:snapToGrid w:val="0"/>
        <w:spacing w:line="240" w:lineRule="auto"/>
        <w:ind w:firstLine="0"/>
        <w:jc w:val="both"/>
        <w:textAlignment w:val="baseline"/>
        <w:rPr>
          <w:rFonts w:hint="eastAsia" w:ascii="宋体" w:hAnsi="Calibri" w:eastAsia="宋体" w:cs="Times New Roman"/>
          <w:kern w:val="0"/>
          <w:sz w:val="21"/>
          <w:szCs w:val="24"/>
          <w:highlight w:val="none"/>
          <w:lang w:val="en-US" w:eastAsia="zh-CN" w:bidi="ar-SA"/>
        </w:rPr>
      </w:pPr>
    </w:p>
    <w:p>
      <w:pPr>
        <w:pBdr>
          <w:top w:val="single" w:color="auto" w:sz="8" w:space="6"/>
        </w:pBdr>
        <w:adjustRightInd w:val="0"/>
        <w:snapToGrid w:val="0"/>
        <w:spacing w:after="109" w:afterLines="35" w:line="240" w:lineRule="auto"/>
        <w:ind w:firstLine="302" w:firstLineChars="100"/>
        <w:rPr>
          <w:rFonts w:ascii="长城仿宋" w:hAnsi="Calibri" w:eastAsia="长城仿宋" w:cs="Times New Roman"/>
          <w:spacing w:val="11"/>
          <w:sz w:val="28"/>
          <w:szCs w:val="24"/>
          <w:highlight w:val="none"/>
        </w:rPr>
      </w:pPr>
      <w:r>
        <w:rPr>
          <w:rFonts w:hint="eastAsia" w:ascii="仿宋_GB2312" w:hAnsi="Calibri" w:eastAsia="仿宋_GB2312" w:cs="Times New Roman"/>
          <w:spacing w:val="11"/>
          <w:sz w:val="28"/>
          <w:szCs w:val="24"/>
          <w:highlight w:val="none"/>
        </w:rPr>
        <w:t>抄送：证监会市场二司</w:t>
      </w:r>
      <w:r>
        <w:rPr>
          <w:rFonts w:hint="eastAsia" w:ascii="仿宋_GB2312" w:hAnsi="Calibri" w:eastAsia="仿宋_GB2312" w:cs="Times New Roman"/>
          <w:spacing w:val="11"/>
          <w:sz w:val="28"/>
          <w:szCs w:val="24"/>
          <w:highlight w:val="none"/>
          <w:lang w:eastAsia="zh-CN"/>
        </w:rPr>
        <w:t>、</w:t>
      </w:r>
      <w:r>
        <w:rPr>
          <w:rFonts w:hint="eastAsia" w:ascii="仿宋_GB2312" w:hAnsi="Calibri" w:eastAsia="仿宋_GB2312" w:cs="Times New Roman"/>
          <w:spacing w:val="11"/>
          <w:sz w:val="28"/>
          <w:szCs w:val="24"/>
          <w:highlight w:val="none"/>
        </w:rPr>
        <w:t>法治司；中国证券投资基金业协会。</w:t>
      </w:r>
    </w:p>
    <w:p>
      <w:pPr>
        <w:pBdr>
          <w:top w:val="single" w:color="auto" w:sz="4" w:space="6"/>
        </w:pBdr>
        <w:adjustRightInd w:val="0"/>
        <w:snapToGrid w:val="0"/>
        <w:spacing w:after="109" w:afterLines="35" w:line="240" w:lineRule="auto"/>
        <w:ind w:firstLine="318"/>
        <w:jc w:val="left"/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</w:rPr>
      </w:pP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</w:rPr>
        <w:t xml:space="preserve">广东证监局办公室       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</w:rPr>
        <w:t xml:space="preserve"> 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highlight w:val="none"/>
          <w:lang w:val="en-US"/>
        </w:rPr>
        <w:t xml:space="preserve">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</w:rPr>
        <w:t xml:space="preserve"> 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</w:rPr>
        <w:t xml:space="preserve">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  <w:lang w:val="en-US" w:eastAsia="zh-CN"/>
        </w:rPr>
        <w:t xml:space="preserve">   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  <w:lang w:eastAsia="zh-CN"/>
        </w:rPr>
        <w:t>20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  <w:lang w:val="en-US" w:eastAsia="zh-CN"/>
        </w:rPr>
        <w:t>26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</w:rPr>
        <w:t>年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highlight w:val="none"/>
          <w:lang w:val="en-US"/>
        </w:rPr>
        <w:t>4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</w:rPr>
        <w:t>月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highlight w:val="none"/>
          <w:lang w:val="en-US"/>
        </w:rPr>
        <w:t>8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</w:rPr>
        <w:t>日印发</w:t>
      </w:r>
    </w:p>
    <w:p>
      <w:pPr>
        <w:pBdr>
          <w:top w:val="single" w:color="auto" w:sz="8" w:space="7"/>
        </w:pBdr>
        <w:overflowPunct w:val="0"/>
        <w:bidi w:val="0"/>
        <w:adjustRightInd w:val="0"/>
        <w:snapToGrid w:val="0"/>
        <w:spacing w:beforeLines="0" w:after="0" w:afterLines="0" w:line="240" w:lineRule="auto"/>
        <w:ind w:firstLine="0"/>
        <w:jc w:val="left"/>
        <w:rPr>
          <w:rFonts w:hint="default" w:ascii="仿宋_GB2312" w:hAnsi="Calibri" w:eastAsia="仿宋_GB2312" w:cs="Times New Roman"/>
          <w:spacing w:val="8"/>
          <w:sz w:val="2"/>
          <w:szCs w:val="2"/>
          <w:highlight w:val="none"/>
          <w:lang w:val="en-US" w:eastAsia="zh-CN"/>
        </w:rPr>
      </w:pPr>
    </w:p>
    <w:bookmarkEnd w:id="1"/>
    <w:p>
      <w:pPr>
        <w:pBdr>
          <w:top w:val="single" w:color="auto" w:sz="8" w:space="7"/>
        </w:pBdr>
        <w:overflowPunct w:val="0"/>
        <w:bidi w:val="0"/>
        <w:adjustRightInd w:val="0"/>
        <w:snapToGrid w:val="0"/>
        <w:spacing w:beforeLines="0" w:after="0" w:afterLines="0" w:line="240" w:lineRule="auto"/>
        <w:ind w:firstLine="0"/>
        <w:jc w:val="left"/>
        <w:rPr>
          <w:rFonts w:hint="default" w:ascii="仿宋_GB2312" w:hAnsi="Calibri" w:eastAsia="仿宋_GB2312" w:cs="Times New Roman"/>
          <w:spacing w:val="8"/>
          <w:sz w:val="2"/>
          <w:szCs w:val="2"/>
          <w:highlight w:val="none"/>
          <w:lang w:val="en-US" w:eastAsia="zh-CN"/>
        </w:rPr>
      </w:pPr>
      <w:bookmarkStart w:id="2" w:name="_GoBack"/>
      <w:bookmarkEnd w:id="2"/>
    </w:p>
    <w:sectPr>
      <w:footerReference r:id="rId3" w:type="default"/>
      <w:pgSz w:w="11906" w:h="16838"/>
      <w:pgMar w:top="2097" w:right="1474" w:bottom="1984" w:left="1587" w:header="851" w:footer="1587" w:gutter="0"/>
      <w:pgNumType w:fmt="numberInDash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长城仿宋">
    <w:altName w:val="方正仿宋_GBK"/>
    <w:panose1 w:val="02010609000101010101"/>
    <w:charset w:val="00"/>
    <w:family w:val="roma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240" w:lineRule="auto"/>
      <w:rPr>
        <w:rFonts w:hint="eastAsia" w:ascii="宋体" w:hAnsi="宋体" w:eastAsia="宋体" w:cs="宋体"/>
        <w:sz w:val="28"/>
        <w:lang w:val="en-US"/>
      </w:rPr>
    </w:pPr>
    <w:r>
      <w:rPr>
        <w:rFonts w:hint="eastAsia" w:ascii="宋体" w:hAnsi="宋体" w:eastAsia="宋体" w:cs="宋体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4445" t="4445" r="14605" b="1460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BWGMPysCAABV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0"/>
  <w:defaultTabStop w:val="420"/>
  <w:drawingGridHorizontalSpacing w:val="21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7542CD"/>
    <w:rsid w:val="379F6106"/>
    <w:rsid w:val="5F7EFAAD"/>
    <w:rsid w:val="71FF369A"/>
    <w:rsid w:val="93E6A450"/>
    <w:rsid w:val="ADFB1751"/>
    <w:rsid w:val="B77B80C7"/>
    <w:rsid w:val="D3D97A1E"/>
    <w:rsid w:val="EE7542CD"/>
    <w:rsid w:val="FCE3580D"/>
    <w:rsid w:val="FECD17EE"/>
    <w:rsid w:val="FEF3510D"/>
    <w:rsid w:val="FFDD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黑体"/>
      <w:kern w:val="0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NormalIndent"/>
    <w:basedOn w:val="1"/>
    <w:next w:val="1"/>
    <w:qFormat/>
    <w:uiPriority w:val="0"/>
    <w:pPr>
      <w:spacing w:line="240" w:lineRule="auto"/>
      <w:ind w:firstLine="420"/>
      <w:jc w:val="both"/>
      <w:textAlignment w:val="baseline"/>
    </w:pPr>
    <w:rPr>
      <w:rFonts w:ascii="宋体" w:hAnsi="Calibri"/>
      <w:kern w:val="0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2026-04-06T09:42:00Z</dcterms:created>
  <dc:creator>何宏杰</dc:creator>
  <cp:lastModifiedBy>csrc</cp:lastModifiedBy>
  <dcterms:modified xsi:type="dcterms:W3CDTF">2026-04-13T17:12:19Z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5C4FEB2598C7A314A54FD4693F085665</vt:lpwstr>
  </property>
</Properties>
</file>