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43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iGa9f4wEAAKoDAAAO&#10;AAAAZHJzL2Uyb0RvYy54bWytU8uu0zAQ3SPxD5b3NGlRLldR07u4pWwQVAI+YOpHYskv2W7T/gQ/&#10;gMQOVizZ8zdcPoOxG8oFNgiRxWTsOZ7MOT5Z3hyNJgcRonK2o/NZTYmwzHFl+46+eb15dE1JTGA5&#10;aGdFR08i0pvVwwfL0bdi4QanuQgEm9jYjr6jQ0q+rarIBmEgzpwXFovSBQMJl6GveIARuxtdLer6&#10;qhpd4D44JmLE3fW5SFelv5SCpZdSRpGI7ijOlkoMJe5yrFZLaPsAflBsGgP+YQoDyuJHL63WkIDs&#10;g/qjlVEsuOhkmjFnKielYqJwQDbz+jc2rwbwonBBcaK/yBT/X1v24rANRHG8O0osGLyiu3efv779&#10;8O3Le4x3nz6SeRZp9LFF7K3dhmkV/TZkxkcZTH4jF3Iswp4uwopjIgw3m6aZX9cNJQxrV4+b3LH6&#10;edSHmJ4JZ0hOOqqVzayhhcPzmM7QH5C8rS0Zcd7FkxpvlAG6RmpImBqPPKLty+HotOIbpXU+EkO/&#10;u9WBHAB9sNnU+Ewz/ALLX1lDHM64UsowaAcB/KnlJJ08KmTRyjTPYASnRAt0fs4KMoHSf4NE+trm&#10;1qK4dCKaZT4Lm7Od4ye8nb0Pqh9QmBT2ooydi2iIIuJk3uy4+2vM7/9iq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ML7WS1gAAAAgBAAAPAAAAAAAAAAEAIAAAADgAAABkcnMvZG93bnJldi54bWxQ&#10;SwECFAAUAAAACACHTuJAIhmvX+MBAACqAwAADgAAAAAAAAABACAAAAA7AQAAZHJzL2Uyb0RvYy54&#10;bWxQSwUGAAAAAAYABgBZAQAAkA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" w:eastAsia="zh-CN"/>
        </w:rPr>
      </w:pPr>
      <w:bookmarkStart w:id="1" w:name="quanwen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关于对</w:t>
      </w:r>
      <w:r>
        <w:rPr>
          <w:rFonts w:hint="default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" w:eastAsia="zh-CN"/>
        </w:rPr>
        <w:t>广东高乐股份有限公司采取责令改正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" w:eastAsia="zh-CN"/>
        </w:rPr>
      </w:pPr>
      <w:r>
        <w:rPr>
          <w:rFonts w:hint="default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" w:eastAsia="zh-CN"/>
        </w:rPr>
        <w:t>措施并对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" w:eastAsia="zh-CN"/>
        </w:rPr>
        <w:t>朱俭勇、彭瀚祺、马少滨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采取出具警示函措施的决定</w:t>
      </w:r>
    </w:p>
    <w:p>
      <w:pPr>
        <w:snapToGrid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广东高乐股份有限公司、朱俭勇、彭瀚祺、马少滨：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经查，广东高乐股份有限公司（以下简称高乐股份或公司）存在以下违规行为：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一、公司治理存在问题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（一）高乐股份在未经全体董事同意且距会议不足2日的情况下，召开第八届董事会独立董事专门会议2025年第二次会议和第八届董事会第十三次会议，不符合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公司章程有关规定。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（二）高乐股份在董事会提名委员会召集人未召集主持会议，也未委托其他委员主持会议的情况下，召开第八届董事会提名委员会2025年第三次会议，并通过有关聘任公司董事会秘书的方案，不符合公司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《董事会提名委员会工作细则》有关规定。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（三）高乐股份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第八届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董事会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第十三次会议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在审议与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公司2025年度向特定对象发行A股股票有关的议案、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终止前次非公开发行股票事项的议案、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股东回报规划议案等议案时，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出席会议的无关联关系董事人数不足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但仍通过了相关议案，且披露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终止前次非公开发行股票事项的议案“无需提交公司股东会审议”，不符合公司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《董事会议事规则》相关规定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（四）高乐股份在新任董事会秘书尚未正式聘任时，安排非董事会秘书筹备有关提名委员会会议、独立董事专门会议、董事会会议，不符合公司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《董事会议事规则》《董事会秘书工作制度》相关规定。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（五）高乐股份相关独立董事在董事会会议召开前发表独立意见，提出停止一切与本次定增相关的的董事会审议程序等要求，但公司未予披露，不符合公司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《独立董事工作制度》相关规定。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以上问题导致高乐股份于2025年12月2日披露的《第八届董事会第十三次会议决议公告》中，对会议召开及表决情况的披露不真实、不准确。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二、公司违反诚信查询义务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高乐股份聘任董事、高级管理人员时，均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未按规定查询拟聘任人员的诚信档案。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公司上述行为违反了《上市公司信息披露管理办法》（证监会令第226号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，下同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）第三条第一款、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《证券期货市场诚信监督管理办法》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-SA"/>
        </w:rPr>
        <w:t>（证监会令第166号，下同）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第三十七条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以及《上市公司治理准则》（证监会公告〔2025〕5号）第三十二条的规定。公司董事长朱俭勇、总经理彭瀚祺、时任董事会秘书马少滨违反了《上市公司信息披露管理办法》第四条、第五十二条第一款及第二款规定，对公司上述违规行为承担主要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根据《上市公司信息披露管理办法》第五十三条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第一项及第三项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《证券期货市场诚信监督管理办法》第四十七条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规定，我局决定对高乐股份采取责令改正的行政监管措施，对朱俭勇、彭瀚祺、马少滨采取出具警示函的行政监管措施。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高乐股份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应按照以下要求采取有效措施进行改正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一、公司董事、高级管理人员应加强对证券法律法规的学习，不断提高履职能力，忠实勤勉、谨慎履职，切实提高公司规范运作和信息披露水平。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二、公司应高度重视整改工作，对公司治理、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信息披露、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内部控制等方面存在的薄弱环节或不规范情形进行全面梳理，制定整改计划，采取有效措施整改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，杜绝类似情况再次发生。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三、公司应对相关责任人员进行内部问责。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default" w:ascii="Calibri" w:hAnsi="Calibri" w:eastAsia="宋体" w:cs="Times New Roman"/>
          <w:spacing w:val="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请公司于收到本决定书30日内向我局报送整改及内部问责情况报告，并抄报深圳证券交易所。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ascii="Calibri" w:hAnsi="Calibri" w:eastAsia="宋体" w:cs="Times New Roman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eastAsia" w:ascii="仿宋_GB2312" w:hAnsi="Calibri" w:eastAsia="宋体" w:cs="Times New Roman"/>
          <w:color w:val="000000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22"/>
          <w:szCs w:val="20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hAnsi="Calibri" w:eastAsia="黑体" w:cs="Times New Roman"/>
          <w:spacing w:val="8"/>
          <w:sz w:val="22"/>
          <w:szCs w:val="20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抄送：证监会发行司、上市司、法治司；</w:t>
      </w: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1184" w:firstLineChars="400"/>
        <w:textAlignment w:val="auto"/>
        <w:rPr>
          <w:rFonts w:ascii="长城仿宋" w:hAnsi="Calibri" w:eastAsia="长城仿宋" w:cs="Times New Roman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深圳证券交易所、中证中小投资者服务中心有限责任公司。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 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>4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bookmarkEnd w:id="1"/>
    <w:p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left"/>
        <w:textAlignment w:val="auto"/>
        <w:rPr>
          <w:rFonts w:hint="eastAsia" w:ascii="仿宋_GB2312" w:hAnsi="Calibri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宋体"/>
    <w:panose1 w:val="02010609000101010101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true"/>
  <w:bordersDoNotSurroundFooter w:val="true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FE471"/>
    <w:rsid w:val="4B7F2682"/>
    <w:rsid w:val="4FFF0AA7"/>
    <w:rsid w:val="5A5D4CA2"/>
    <w:rsid w:val="5FBFAD93"/>
    <w:rsid w:val="677EA110"/>
    <w:rsid w:val="67BF7426"/>
    <w:rsid w:val="6DEF8E8C"/>
    <w:rsid w:val="6ED60F53"/>
    <w:rsid w:val="6F6CCEB8"/>
    <w:rsid w:val="6FCFE471"/>
    <w:rsid w:val="70BF5921"/>
    <w:rsid w:val="76E780B3"/>
    <w:rsid w:val="787F6AA7"/>
    <w:rsid w:val="7AF65FF4"/>
    <w:rsid w:val="7E94B5D0"/>
    <w:rsid w:val="7EEFB255"/>
    <w:rsid w:val="7FDB060B"/>
    <w:rsid w:val="7FEB1E2F"/>
    <w:rsid w:val="7FFE1059"/>
    <w:rsid w:val="7FFF7A0D"/>
    <w:rsid w:val="9FDE1E70"/>
    <w:rsid w:val="A7691941"/>
    <w:rsid w:val="B79F3F14"/>
    <w:rsid w:val="B7EB8F8E"/>
    <w:rsid w:val="BC5E5002"/>
    <w:rsid w:val="CD67A1D4"/>
    <w:rsid w:val="DEFFBC74"/>
    <w:rsid w:val="E7FFF396"/>
    <w:rsid w:val="E95EBABD"/>
    <w:rsid w:val="EBBB6324"/>
    <w:rsid w:val="FEFF8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customStyle="1" w:styleId="7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2026-01-26T13:59:00Z</dcterms:created>
  <dc:creator>王艳</dc:creator>
  <cp:lastModifiedBy>王艳</cp:lastModifiedBy>
  <cp:lastPrinted>2026-04-03T15:07:00Z</cp:lastPrinted>
  <dcterms:modified xsi:type="dcterms:W3CDTF">2026-04-03T15:09:19Z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A178953502305F28250D7F691DF298BF</vt:lpwstr>
  </property>
</Properties>
</file>