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E3FAA4">
      <w:pPr>
        <w:tabs>
          <w:tab w:val="left" w:pos="420"/>
        </w:tabs>
        <w:jc w:val="center"/>
        <w:rPr>
          <w:rFonts w:hint="eastAsia" w:ascii="方正小标宋简体" w:hAnsi="方正小标宋简体" w:eastAsia="方正小标宋简体" w:cs="Times New Roman"/>
          <w:b/>
          <w:color w:val="FF0000"/>
          <w:w w:val="95"/>
          <w:kern w:val="0"/>
          <w:sz w:val="44"/>
          <w:szCs w:val="116"/>
        </w:rPr>
      </w:pPr>
      <w:r>
        <w:rPr>
          <w:rFonts w:hint="eastAsia" w:ascii="方正小标宋简体" w:hAnsi="方正小标宋简体" w:eastAsia="方正小标宋简体" w:cs="黑体"/>
          <w:b/>
          <w:color w:val="FF0000"/>
          <w:w w:val="95"/>
          <w:sz w:val="44"/>
          <w:szCs w:val="72"/>
        </w:rPr>
        <w:t>中国证券监督管理委员会广东监管局</w:t>
      </w:r>
    </w:p>
    <w:p w14:paraId="01D69C15">
      <w:pPr>
        <w:jc w:val="center"/>
        <w:rPr>
          <w:rFonts w:hint="eastAsia" w:ascii="方正小标宋简体" w:hAnsi="方正小标宋简体" w:eastAsia="方正小标宋简体" w:cs="Times New Roman"/>
          <w:snapToGrid w:val="0"/>
          <w:spacing w:val="85"/>
          <w:w w:val="90"/>
          <w:sz w:val="72"/>
          <w:szCs w:val="72"/>
        </w:rPr>
      </w:pPr>
      <w:r>
        <w:rPr>
          <w:rFonts w:hint="eastAsia" w:ascii="方正小标宋简体" w:hAnsi="方正小标宋简体" w:eastAsia="方正小标宋简体" w:cs="Times New Roman"/>
          <w:b/>
          <w:bCs/>
          <w:snapToGrid w:val="0"/>
          <w:color w:val="FF0000"/>
          <w:spacing w:val="85"/>
          <w:w w:val="90"/>
          <w:sz w:val="72"/>
          <w:szCs w:val="72"/>
        </w:rPr>
        <w:t>行政监管措施决定书</w:t>
      </w:r>
    </w:p>
    <w:p w14:paraId="2B707516">
      <w:pPr>
        <w:snapToGrid w:val="0"/>
        <w:jc w:val="center"/>
        <w:rPr>
          <w:rFonts w:hint="eastAsia" w:ascii="仿宋_GB2312" w:hAnsi="仿宋_GB2312" w:eastAsia="仿宋_GB2312" w:cs="宋体"/>
          <w:sz w:val="44"/>
          <w:szCs w:val="44"/>
        </w:rPr>
      </w:pPr>
    </w:p>
    <w:p w14:paraId="524364BD">
      <w:pPr>
        <w:snapToGrid w:val="0"/>
        <w:spacing w:before="156" w:beforeLines="50" w:line="300" w:lineRule="auto"/>
        <w:jc w:val="center"/>
        <w:rPr>
          <w:rFonts w:ascii="黑体" w:hAnsi="Times New Roman" w:eastAsia="黑体" w:cs="Times New Roman"/>
          <w:color w:val="000000"/>
          <w:spacing w:val="12"/>
          <w:sz w:val="32"/>
          <w:szCs w:val="20"/>
        </w:rPr>
      </w:pPr>
      <w:bookmarkStart w:id="0" w:name="WH"/>
      <w:bookmarkEnd w:id="0"/>
      <w:r>
        <w:rPr>
          <w:rFonts w:hint="eastAsia" w:ascii="仿宋_GB2312" w:hAnsi="Times New Roman" w:eastAsia="仿宋_GB2312" w:cs="Times New Roman"/>
          <w:color w:val="000000"/>
          <w:spacing w:val="12"/>
          <w:sz w:val="28"/>
          <w:szCs w:val="20"/>
        </w:rPr>
        <w:t>〔20</w:t>
      </w:r>
      <w:r>
        <w:rPr>
          <w:rFonts w:hint="default" w:ascii="仿宋_GB2312" w:hAnsi="Times New Roman" w:eastAsia="仿宋_GB2312" w:cs="Times New Roman"/>
          <w:color w:val="000000"/>
          <w:spacing w:val="12"/>
          <w:sz w:val="28"/>
          <w:szCs w:val="20"/>
          <w:lang w:val="en-US"/>
        </w:rPr>
        <w:t>26</w:t>
      </w:r>
      <w:r>
        <w:rPr>
          <w:rFonts w:hint="eastAsia" w:ascii="仿宋_GB2312" w:hAnsi="Times New Roman" w:eastAsia="仿宋_GB2312" w:cs="Times New Roman"/>
          <w:color w:val="000000"/>
          <w:spacing w:val="12"/>
          <w:sz w:val="28"/>
          <w:szCs w:val="20"/>
        </w:rPr>
        <w:t>〕</w:t>
      </w:r>
      <w:r>
        <w:rPr>
          <w:rFonts w:hint="default" w:ascii="仿宋_GB2312" w:hAnsi="Times New Roman" w:eastAsia="仿宋_GB2312" w:cs="Times New Roman"/>
          <w:color w:val="000000"/>
          <w:spacing w:val="12"/>
          <w:sz w:val="28"/>
          <w:szCs w:val="20"/>
          <w:lang w:val="en-US"/>
        </w:rPr>
        <w:t>41</w:t>
      </w:r>
      <w:r>
        <w:rPr>
          <w:rFonts w:hint="eastAsia" w:ascii="仿宋_GB2312" w:hAnsi="Times New Roman" w:eastAsia="仿宋_GB2312" w:cs="Times New Roman"/>
          <w:color w:val="000000"/>
          <w:spacing w:val="12"/>
          <w:sz w:val="28"/>
          <w:szCs w:val="20"/>
        </w:rPr>
        <w:t>号</w:t>
      </w:r>
    </w:p>
    <w:p w14:paraId="1C1F1DE4">
      <w:pPr>
        <w:snapToGrid w:val="0"/>
        <w:jc w:val="center"/>
        <w:rPr>
          <w:rFonts w:hint="eastAsia" w:ascii="仿宋_GB2312" w:hAnsi="仿宋_GB2312" w:eastAsia="仿宋_GB2312" w:cs="Times New Roman"/>
          <w:sz w:val="28"/>
          <w:szCs w:val="28"/>
        </w:rPr>
      </w:pPr>
      <w:r>
        <w:rPr>
          <w:rFonts w:ascii="Times New Roman" w:hAnsi="Times New Roman" w:eastAsia="宋体" w:cs="Times New Roman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80645</wp:posOffset>
                </wp:positionH>
                <wp:positionV relativeFrom="paragraph">
                  <wp:posOffset>128905</wp:posOffset>
                </wp:positionV>
                <wp:extent cx="5551805" cy="635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51805" cy="635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.35pt;margin-top:10.15pt;height:0.05pt;width:437.15pt;z-index:251659264;mso-width-relative:page;mso-height-relative:page;" filled="f" stroked="t" coordsize="21600,21600" o:gfxdata="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zC+1ktYAAAAIAQAADwAAAAAAAAABACAAAAAiAAAAZHJzL2Rvd25yZXYu&#10;eG1sUEsBAhQAFAAAAAgAh07iQBXy5mP9AQAA9QMAAA4AAAAAAAAAAQAgAAAAJQEAAGRycy9lMm9E&#10;b2MueG1sUEsFBgAAAAAGAAYAWQEAAJQFAAAAAA==&#10;">
                <v:fill on="f" focussize="0,0"/>
                <v:stroke weight="1pt" color="#FF0000" joinstyle="round"/>
                <v:imagedata o:title=""/>
                <o:lock v:ext="edit" aspectratio="f"/>
              </v:line>
            </w:pict>
          </mc:Fallback>
        </mc:AlternateContent>
      </w:r>
    </w:p>
    <w:p w14:paraId="69AC7355">
      <w:pPr>
        <w:jc w:val="center"/>
        <w:rPr>
          <w:rFonts w:hint="eastAsia" w:ascii="Times New Roman" w:hAnsi="Times New Roman" w:eastAsia="宋体" w:cs="Times New Roman"/>
          <w:sz w:val="28"/>
          <w:szCs w:val="28"/>
        </w:rPr>
      </w:pPr>
    </w:p>
    <w:p w14:paraId="5D9189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1" w:name="quanwen"/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lang w:val="en-US" w:eastAsia="zh-CN"/>
        </w:rPr>
        <w:t>关于对谢仕梅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采取出具警示函措施的决定</w:t>
      </w:r>
    </w:p>
    <w:p w14:paraId="24958F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</w:p>
    <w:p w14:paraId="4289B12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Lines="0" w:afterLines="0" w:line="336" w:lineRule="auto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谢仕梅：</w:t>
      </w:r>
    </w:p>
    <w:p w14:paraId="223D5F0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Lines="0" w:afterLines="0" w:line="336" w:lineRule="auto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经查，我局发现你曾存在借用“何杰峰”东莞证券账户进行证券交易的行为，该行为主要集中在2022年以前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 w:bidi="ar-SA"/>
        </w:rPr>
        <w:t>上述行为违反了《证券法》第五十八条的规定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。</w:t>
      </w:r>
    </w:p>
    <w:p w14:paraId="0E6D341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Lines="0" w:afterLines="0" w:line="336" w:lineRule="auto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highlight w:val="none"/>
          <w:lang w:val="en-US" w:eastAsia="zh-CN" w:bidi="ar-SA"/>
        </w:rPr>
        <w:t>根据《证券法》第一</w:t>
      </w:r>
      <w:bookmarkStart w:id="2" w:name="_GoBack"/>
      <w:bookmarkEnd w:id="2"/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highlight w:val="none"/>
          <w:lang w:val="en-US" w:eastAsia="zh-CN" w:bidi="ar-SA"/>
        </w:rPr>
        <w:t>百七十条第二款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的规定，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 w:bidi="ar-SA"/>
        </w:rPr>
        <w:t>我局决定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对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 w:bidi="ar-SA"/>
        </w:rPr>
        <w:t>你采取出具警示函的行政监管措施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/>
        </w:rPr>
        <w:t>。你应当引以为戒，切实加强对证券法律法规的学习，杜绝此类事件再次发生。</w:t>
      </w:r>
    </w:p>
    <w:p w14:paraId="7CB41FD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="0" w:beforeLines="0" w:after="0" w:afterLines="0" w:line="336" w:lineRule="auto"/>
        <w:ind w:left="0" w:leftChars="0" w:right="0" w:firstLine="642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lang w:val="en-US" w:eastAsia="zh-CN" w:bidi="ar-SA"/>
        </w:rPr>
        <w:t>如果对本监督管理措施不服，可以在收到本决定书之日起60日内向中国证券监督管理委员会提出行政复议申请,也可以在收到本决定书之日起6个月内向有管辖权的人民法院提起诉讼。复议与诉讼期间，上述监督管理措施不停止执行。</w:t>
      </w:r>
    </w:p>
    <w:p w14:paraId="17174C19">
      <w:pPr>
        <w:widowControl w:val="0"/>
        <w:overflowPunct w:val="0"/>
        <w:adjustRightInd w:val="0"/>
        <w:snapToGrid w:val="0"/>
        <w:spacing w:line="336" w:lineRule="auto"/>
        <w:jc w:val="both"/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</w:p>
    <w:p w14:paraId="6956D41A">
      <w:pPr>
        <w:snapToGrid w:val="0"/>
        <w:spacing w:line="300" w:lineRule="auto"/>
        <w:ind w:right="26"/>
        <w:jc w:val="left"/>
        <w:rPr>
          <w:rFonts w:hint="eastAsia" w:ascii="黑体" w:hAnsi="Calibri" w:eastAsia="黑体" w:cs="Times New Roman"/>
          <w:spacing w:val="8"/>
          <w:sz w:val="32"/>
          <w:szCs w:val="24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（此页无正文）</w:t>
      </w:r>
    </w:p>
    <w:p w14:paraId="6A5A7CBE">
      <w:pPr>
        <w:widowControl w:val="0"/>
        <w:overflowPunct w:val="0"/>
        <w:snapToGrid w:val="0"/>
        <w:spacing w:line="360" w:lineRule="auto"/>
        <w:jc w:val="both"/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</w:p>
    <w:p w14:paraId="7709FDF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ascii="宋体" w:hAnsi="宋体" w:eastAsia="宋体" w:cs="宋体"/>
          <w:color w:val="000000"/>
          <w:sz w:val="28"/>
          <w:szCs w:val="28"/>
        </w:rPr>
      </w:pPr>
    </w:p>
    <w:p w14:paraId="70C6A9F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ascii="宋体" w:hAnsi="宋体" w:eastAsia="宋体" w:cs="宋体"/>
          <w:color w:val="000000"/>
          <w:sz w:val="28"/>
          <w:szCs w:val="28"/>
        </w:rPr>
      </w:pPr>
    </w:p>
    <w:p w14:paraId="0EE54ED8">
      <w:pPr>
        <w:overflowPunct w:val="0"/>
        <w:adjustRightInd w:val="0"/>
        <w:snapToGrid w:val="0"/>
        <w:spacing w:line="360" w:lineRule="auto"/>
        <w:ind w:right="1705"/>
        <w:jc w:val="right"/>
        <w:rPr>
          <w:rFonts w:hint="eastAsia" w:ascii="仿宋_GB2312" w:hAnsi="Times New Roman" w:eastAsia="仿宋_GB2312" w:cs="Times New Roman"/>
          <w:color w:val="000000"/>
          <w:sz w:val="32"/>
          <w:szCs w:val="24"/>
        </w:rPr>
      </w:pPr>
      <w:r>
        <w:rPr>
          <w:rFonts w:hint="eastAsia" w:ascii="仿宋_GB2312" w:hAnsi="Times New Roman" w:eastAsia="仿宋_GB2312" w:cs="Times New Roman"/>
          <w:color w:val="000000"/>
          <w:sz w:val="32"/>
          <w:szCs w:val="24"/>
        </w:rPr>
        <w:t>广东证监局</w:t>
      </w:r>
    </w:p>
    <w:p w14:paraId="07E39654">
      <w:pPr>
        <w:numPr>
          <w:ilvl w:val="0"/>
          <w:numId w:val="0"/>
        </w:numPr>
        <w:pBdr>
          <w:top w:val="none" w:color="auto" w:sz="0" w:space="0"/>
          <w:bottom w:val="none" w:color="auto" w:sz="0" w:space="0"/>
        </w:pBdr>
        <w:overflowPunct w:val="0"/>
        <w:adjustRightInd w:val="0"/>
        <w:snapToGrid w:val="0"/>
        <w:spacing w:beforeLines="0" w:afterLines="0" w:line="360" w:lineRule="auto"/>
        <w:jc w:val="center"/>
        <w:outlineLvl w:val="9"/>
        <w:rPr>
          <w:rFonts w:ascii="Calibri" w:hAnsi="Calibri" w:eastAsia="宋体" w:cs="Times New Roman"/>
          <w:szCs w:val="24"/>
        </w:rPr>
      </w:pPr>
      <w:r>
        <w:rPr>
          <w:rFonts w:hint="eastAsia" w:ascii="仿宋_GB2312" w:hAnsi="Times New Roman" w:eastAsia="仿宋_GB2312" w:cs="Times New Roman"/>
          <w:color w:val="000000"/>
          <w:spacing w:val="10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Times New Roman" w:eastAsia="仿宋_GB2312" w:cs="Times New Roman"/>
          <w:color w:val="000000"/>
          <w:spacing w:val="10"/>
          <w:sz w:val="32"/>
          <w:szCs w:val="32"/>
          <w:lang w:val="en-US" w:eastAsia="zh-CN"/>
        </w:rPr>
        <w:t xml:space="preserve">         </w:t>
      </w:r>
      <w:r>
        <w:rPr>
          <w:rFonts w:hint="default" w:ascii="仿宋_GB2312" w:hAnsi="Times New Roman" w:eastAsia="仿宋_GB2312" w:cs="Times New Roman"/>
          <w:color w:val="000000"/>
          <w:spacing w:val="10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Times New Roman" w:eastAsia="仿宋_GB2312" w:cs="Times New Roman"/>
          <w:color w:val="000000"/>
          <w:spacing w:val="10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Times New Roman" w:eastAsia="仿宋_GB2312" w:cs="Times New Roman"/>
          <w:color w:val="000000"/>
          <w:spacing w:val="10"/>
          <w:sz w:val="32"/>
          <w:szCs w:val="32"/>
          <w:lang w:eastAsia="zh-CN"/>
        </w:rPr>
        <w:t>2</w:t>
      </w:r>
      <w:r>
        <w:rPr>
          <w:rFonts w:hint="eastAsia" w:ascii="仿宋_GB2312" w:hAnsi="Times New Roman" w:eastAsia="仿宋_GB2312" w:cs="Times New Roman"/>
          <w:color w:val="000000"/>
          <w:spacing w:val="10"/>
          <w:sz w:val="32"/>
          <w:szCs w:val="32"/>
          <w:lang w:val="en-US" w:eastAsia="zh-CN"/>
        </w:rPr>
        <w:t>02</w:t>
      </w:r>
      <w:r>
        <w:rPr>
          <w:rFonts w:hint="default" w:ascii="仿宋_GB2312" w:hAnsi="Times New Roman" w:eastAsia="仿宋_GB2312" w:cs="Times New Roman"/>
          <w:color w:val="000000"/>
          <w:spacing w:val="10"/>
          <w:sz w:val="32"/>
          <w:szCs w:val="32"/>
          <w:lang w:val="en-US" w:eastAsia="zh-CN"/>
        </w:rPr>
        <w:t>6</w:t>
      </w:r>
      <w:r>
        <w:rPr>
          <w:rFonts w:hint="eastAsia" w:ascii="仿宋_GB2312" w:hAnsi="Times New Roman" w:eastAsia="仿宋_GB2312" w:cs="Times New Roman"/>
          <w:color w:val="000000"/>
          <w:spacing w:val="10"/>
          <w:sz w:val="32"/>
          <w:szCs w:val="32"/>
        </w:rPr>
        <w:t>年</w:t>
      </w:r>
      <w:r>
        <w:rPr>
          <w:rFonts w:hint="default" w:ascii="仿宋_GB2312" w:hAnsi="Calibri" w:eastAsia="仿宋_GB2312" w:cs="Times New Roman"/>
          <w:color w:val="000000"/>
          <w:spacing w:val="10"/>
          <w:sz w:val="32"/>
          <w:szCs w:val="32"/>
          <w:lang w:val="en-US" w:eastAsia="zh-CN"/>
        </w:rPr>
        <w:t>3</w:t>
      </w:r>
      <w:r>
        <w:rPr>
          <w:rFonts w:hint="eastAsia" w:ascii="仿宋_GB2312" w:hAnsi="Times New Roman" w:eastAsia="仿宋_GB2312" w:cs="Times New Roman"/>
          <w:color w:val="000000"/>
          <w:spacing w:val="10"/>
          <w:sz w:val="32"/>
          <w:szCs w:val="32"/>
        </w:rPr>
        <w:t>月</w:t>
      </w:r>
      <w:r>
        <w:rPr>
          <w:rFonts w:hint="default" w:ascii="仿宋_GB2312" w:hAnsi="Calibri" w:eastAsia="宋体" w:cs="Times New Roman"/>
          <w:color w:val="000000"/>
          <w:spacing w:val="10"/>
          <w:sz w:val="32"/>
          <w:szCs w:val="32"/>
          <w:lang w:val="en-US" w:eastAsia="zh-CN"/>
        </w:rPr>
        <w:t>17</w:t>
      </w:r>
      <w:r>
        <w:rPr>
          <w:rFonts w:hint="eastAsia" w:ascii="仿宋_GB2312" w:hAnsi="Times New Roman" w:eastAsia="仿宋_GB2312" w:cs="Times New Roman"/>
          <w:color w:val="000000"/>
          <w:spacing w:val="10"/>
          <w:sz w:val="32"/>
          <w:szCs w:val="32"/>
        </w:rPr>
        <w:t>日</w:t>
      </w:r>
    </w:p>
    <w:p w14:paraId="62F638AE">
      <w:pPr>
        <w:keepNext w:val="0"/>
        <w:keepLines w:val="0"/>
        <w:widowControl/>
        <w:suppressLineNumbers w:val="0"/>
        <w:snapToGrid w:val="0"/>
        <w:spacing w:beforeLines="0" w:afterLines="0" w:line="360" w:lineRule="auto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7882F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360" w:lineRule="auto"/>
        <w:ind w:right="28"/>
        <w:jc w:val="left"/>
        <w:textAlignment w:val="auto"/>
        <w:rPr>
          <w:rFonts w:hint="eastAsia" w:ascii="黑体" w:hAnsi="Calibri" w:eastAsia="黑体" w:cs="Times New Roman"/>
          <w:spacing w:val="8"/>
          <w:sz w:val="32"/>
          <w:szCs w:val="32"/>
        </w:rPr>
      </w:pPr>
    </w:p>
    <w:p w14:paraId="00EF05A1">
      <w:pPr>
        <w:keepNext w:val="0"/>
        <w:keepLines w:val="0"/>
        <w:widowControl/>
        <w:suppressLineNumbers w:val="0"/>
        <w:snapToGrid w:val="0"/>
        <w:spacing w:beforeLines="0" w:afterLines="0" w:line="360" w:lineRule="auto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A721E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360" w:lineRule="auto"/>
        <w:ind w:right="28"/>
        <w:jc w:val="left"/>
        <w:textAlignment w:val="auto"/>
        <w:rPr>
          <w:rFonts w:hint="eastAsia" w:ascii="黑体" w:hAnsi="Calibri" w:eastAsia="黑体" w:cs="Times New Roman"/>
          <w:spacing w:val="8"/>
          <w:sz w:val="32"/>
          <w:szCs w:val="32"/>
        </w:rPr>
      </w:pPr>
    </w:p>
    <w:p w14:paraId="5CF676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360" w:lineRule="auto"/>
        <w:ind w:right="28"/>
        <w:jc w:val="left"/>
        <w:textAlignment w:val="auto"/>
        <w:rPr>
          <w:rFonts w:hint="eastAsia" w:ascii="黑体" w:hAnsi="Calibri" w:eastAsia="黑体" w:cs="Times New Roman"/>
          <w:spacing w:val="8"/>
          <w:sz w:val="32"/>
          <w:szCs w:val="32"/>
        </w:rPr>
      </w:pPr>
    </w:p>
    <w:p w14:paraId="3F5B2D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360" w:lineRule="auto"/>
        <w:ind w:right="28"/>
        <w:jc w:val="left"/>
        <w:textAlignment w:val="auto"/>
        <w:rPr>
          <w:rFonts w:hint="eastAsia" w:ascii="黑体" w:hAnsi="Calibri" w:eastAsia="黑体" w:cs="Times New Roman"/>
          <w:spacing w:val="8"/>
          <w:sz w:val="32"/>
          <w:szCs w:val="32"/>
        </w:rPr>
      </w:pPr>
    </w:p>
    <w:p w14:paraId="45BD62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360" w:lineRule="auto"/>
        <w:ind w:right="28"/>
        <w:jc w:val="left"/>
        <w:textAlignment w:val="auto"/>
        <w:rPr>
          <w:rFonts w:hint="eastAsia" w:ascii="黑体" w:hAnsi="Calibri" w:eastAsia="黑体" w:cs="Times New Roman"/>
          <w:spacing w:val="8"/>
          <w:sz w:val="32"/>
          <w:szCs w:val="32"/>
        </w:rPr>
      </w:pPr>
    </w:p>
    <w:p w14:paraId="44AF74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360" w:lineRule="auto"/>
        <w:ind w:right="28"/>
        <w:jc w:val="left"/>
        <w:textAlignment w:val="auto"/>
        <w:rPr>
          <w:rFonts w:hint="eastAsia" w:ascii="黑体" w:hAnsi="Calibri" w:eastAsia="黑体" w:cs="Times New Roman"/>
          <w:spacing w:val="8"/>
          <w:sz w:val="32"/>
          <w:szCs w:val="32"/>
        </w:rPr>
      </w:pPr>
    </w:p>
    <w:p w14:paraId="3D521B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360" w:lineRule="auto"/>
        <w:ind w:right="28"/>
        <w:jc w:val="left"/>
        <w:textAlignment w:val="auto"/>
        <w:rPr>
          <w:rFonts w:hint="eastAsia" w:ascii="黑体" w:hAnsi="Calibri" w:eastAsia="黑体" w:cs="Times New Roman"/>
          <w:spacing w:val="8"/>
          <w:sz w:val="32"/>
          <w:szCs w:val="32"/>
        </w:rPr>
      </w:pPr>
    </w:p>
    <w:p w14:paraId="2CBE8235">
      <w:pPr>
        <w:keepNext w:val="0"/>
        <w:keepLines w:val="0"/>
        <w:widowControl/>
        <w:suppressLineNumbers w:val="0"/>
        <w:snapToGrid w:val="0"/>
        <w:spacing w:beforeLines="0" w:afterLines="0" w:line="360" w:lineRule="auto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30BAF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360" w:lineRule="auto"/>
        <w:ind w:right="28"/>
        <w:jc w:val="left"/>
        <w:textAlignment w:val="auto"/>
        <w:rPr>
          <w:rFonts w:hint="eastAsia" w:ascii="黑体" w:hAnsi="Calibri" w:eastAsia="黑体" w:cs="Times New Roman"/>
          <w:spacing w:val="8"/>
          <w:sz w:val="32"/>
          <w:szCs w:val="32"/>
        </w:rPr>
      </w:pPr>
    </w:p>
    <w:p w14:paraId="045E478D">
      <w:pPr>
        <w:snapToGrid w:val="0"/>
        <w:spacing w:line="300" w:lineRule="auto"/>
        <w:ind w:right="26"/>
        <w:jc w:val="left"/>
        <w:rPr>
          <w:rFonts w:hint="eastAsia" w:ascii="黑体" w:hAnsi="Calibri" w:eastAsia="黑体" w:cs="Times New Roman"/>
          <w:spacing w:val="8"/>
          <w:sz w:val="32"/>
          <w:szCs w:val="24"/>
        </w:rPr>
      </w:pPr>
    </w:p>
    <w:p w14:paraId="257C7472">
      <w:pPr>
        <w:keepNext w:val="0"/>
        <w:keepLines w:val="0"/>
        <w:pageBreakBefore w:val="0"/>
        <w:widowControl w:val="0"/>
        <w:pBdr>
          <w:top w:val="single" w:color="auto" w:sz="8" w:space="6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09" w:afterLines="35"/>
        <w:ind w:firstLine="296" w:firstLineChars="100"/>
        <w:textAlignment w:val="auto"/>
        <w:rPr>
          <w:rFonts w:ascii="长城仿宋" w:hAnsi="Calibri" w:eastAsia="长城仿宋" w:cs="Times New Roman"/>
          <w:sz w:val="28"/>
          <w:szCs w:val="24"/>
        </w:rPr>
      </w:pPr>
      <w:r>
        <w:rPr>
          <w:rFonts w:hint="eastAsia" w:ascii="仿宋_GB2312" w:hAnsi="Calibri" w:eastAsia="仿宋_GB2312" w:cs="Times New Roman"/>
          <w:spacing w:val="8"/>
          <w:sz w:val="28"/>
          <w:szCs w:val="24"/>
        </w:rPr>
        <w:t>抄送：证监会上市司，法治司；深圳证券交易所。</w:t>
      </w:r>
    </w:p>
    <w:p w14:paraId="7ACEA37B">
      <w:pPr>
        <w:keepNext w:val="0"/>
        <w:keepLines w:val="0"/>
        <w:pageBreakBefore w:val="0"/>
        <w:widowControl w:val="0"/>
        <w:pBdr>
          <w:top w:val="single" w:color="auto" w:sz="4" w:space="6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09" w:afterLines="35"/>
        <w:ind w:firstLine="296" w:firstLineChars="100"/>
        <w:jc w:val="left"/>
        <w:textAlignment w:val="auto"/>
        <w:rPr>
          <w:rFonts w:hint="eastAsia" w:ascii="仿宋_GB2312" w:hAnsi="Calibri" w:eastAsia="仿宋_GB2312" w:cs="Times New Roman"/>
          <w:spacing w:val="8"/>
          <w:sz w:val="28"/>
          <w:szCs w:val="24"/>
        </w:rPr>
      </w:pPr>
      <w:r>
        <w:rPr>
          <w:rFonts w:hint="eastAsia" w:ascii="仿宋_GB2312" w:hAnsi="Calibri" w:eastAsia="仿宋_GB2312" w:cs="Times New Roman"/>
          <w:spacing w:val="8"/>
          <w:sz w:val="28"/>
          <w:szCs w:val="24"/>
        </w:rPr>
        <w:t xml:space="preserve">广东证监局办公室             </w:t>
      </w:r>
      <w:r>
        <w:rPr>
          <w:rFonts w:hint="default" w:ascii="仿宋_GB2312" w:hAnsi="Calibri" w:eastAsia="仿宋_GB2312" w:cs="Times New Roman"/>
          <w:spacing w:val="8"/>
          <w:sz w:val="28"/>
          <w:szCs w:val="24"/>
          <w:lang w:val="en-US"/>
        </w:rPr>
        <w:t xml:space="preserve">     </w:t>
      </w:r>
      <w:r>
        <w:rPr>
          <w:rFonts w:hint="eastAsia" w:ascii="仿宋_GB2312" w:hAnsi="Calibri" w:eastAsia="仿宋_GB2312" w:cs="Times New Roman"/>
          <w:spacing w:val="8"/>
          <w:sz w:val="28"/>
          <w:szCs w:val="24"/>
        </w:rPr>
        <w:t xml:space="preserve"> </w:t>
      </w:r>
      <w:r>
        <w:rPr>
          <w:rFonts w:hint="default" w:ascii="仿宋_GB2312" w:hAnsi="Calibri" w:eastAsia="仿宋_GB2312" w:cs="Times New Roman"/>
          <w:spacing w:val="8"/>
          <w:sz w:val="28"/>
          <w:szCs w:val="24"/>
          <w:lang w:val="en" w:eastAsia="zh-CN"/>
        </w:rPr>
        <w:t>202</w:t>
      </w:r>
      <w:r>
        <w:rPr>
          <w:rFonts w:hint="default" w:ascii="仿宋_GB2312" w:hAnsi="Calibri" w:eastAsia="仿宋_GB2312" w:cs="Times New Roman"/>
          <w:spacing w:val="8"/>
          <w:sz w:val="28"/>
          <w:szCs w:val="24"/>
          <w:lang w:val="en-US" w:eastAsia="zh-CN"/>
        </w:rPr>
        <w:t>6</w:t>
      </w:r>
      <w:r>
        <w:rPr>
          <w:rFonts w:hint="eastAsia" w:ascii="仿宋_GB2312" w:hAnsi="Calibri" w:eastAsia="仿宋_GB2312" w:cs="Times New Roman"/>
          <w:spacing w:val="8"/>
          <w:sz w:val="28"/>
          <w:szCs w:val="24"/>
        </w:rPr>
        <w:t>年</w:t>
      </w:r>
      <w:r>
        <w:rPr>
          <w:rFonts w:hint="default" w:ascii="仿宋_GB2312" w:hAnsi="Calibri" w:eastAsia="仿宋_GB2312" w:cs="Times New Roman"/>
          <w:spacing w:val="8"/>
          <w:sz w:val="28"/>
          <w:szCs w:val="24"/>
          <w:lang w:val="en-US"/>
        </w:rPr>
        <w:t>3</w:t>
      </w:r>
      <w:r>
        <w:rPr>
          <w:rFonts w:hint="eastAsia" w:ascii="仿宋_GB2312" w:hAnsi="Calibri" w:eastAsia="仿宋_GB2312" w:cs="Times New Roman"/>
          <w:spacing w:val="8"/>
          <w:sz w:val="28"/>
          <w:szCs w:val="24"/>
        </w:rPr>
        <w:t>月</w:t>
      </w:r>
      <w:r>
        <w:rPr>
          <w:rFonts w:hint="default" w:ascii="仿宋_GB2312" w:hAnsi="Calibri" w:eastAsia="仿宋_GB2312" w:cs="Times New Roman"/>
          <w:spacing w:val="8"/>
          <w:sz w:val="28"/>
          <w:szCs w:val="24"/>
          <w:lang w:val="en-US"/>
        </w:rPr>
        <w:t>17</w:t>
      </w:r>
      <w:r>
        <w:rPr>
          <w:rFonts w:hint="eastAsia" w:ascii="仿宋_GB2312" w:hAnsi="Calibri" w:eastAsia="仿宋_GB2312" w:cs="Times New Roman"/>
          <w:spacing w:val="8"/>
          <w:sz w:val="28"/>
          <w:szCs w:val="24"/>
        </w:rPr>
        <w:t>日印发</w:t>
      </w:r>
    </w:p>
    <w:bookmarkEnd w:id="1"/>
    <w:p w14:paraId="5DF44F02">
      <w:pPr>
        <w:keepNext w:val="0"/>
        <w:keepLines w:val="0"/>
        <w:pageBreakBefore w:val="0"/>
        <w:widowControl w:val="0"/>
        <w:pBdr>
          <w:top w:val="single" w:color="auto" w:sz="8" w:space="7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0"/>
        <w:jc w:val="left"/>
        <w:textAlignment w:val="auto"/>
        <w:rPr>
          <w:rFonts w:hint="eastAsia" w:ascii="仿宋_GB2312" w:hAnsi="Calibri" w:eastAsia="仿宋_GB2312" w:cs="Times New Roman"/>
          <w:spacing w:val="8"/>
          <w:sz w:val="2"/>
          <w:szCs w:val="2"/>
        </w:rPr>
      </w:pPr>
    </w:p>
    <w:sectPr>
      <w:footerReference r:id="rId3" w:type="default"/>
      <w:pgSz w:w="11906" w:h="16838"/>
      <w:pgMar w:top="2097" w:right="1474" w:bottom="1984" w:left="1587" w:header="851" w:footer="1587" w:gutter="0"/>
      <w:pgNumType w:fmt="numberInDash"/>
      <w:cols w:space="72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长城仿宋">
    <w:altName w:val="宋体"/>
    <w:panose1 w:val="02010609000101010101"/>
    <w:charset w:val="00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075A9F">
    <w:pPr>
      <w:pStyle w:val="2"/>
      <w:spacing w:line="240" w:lineRule="auto"/>
      <w:rPr>
        <w:rFonts w:hint="eastAsia" w:ascii="宋体" w:hAnsi="宋体" w:eastAsia="宋体" w:cs="宋体"/>
        <w:sz w:val="28"/>
        <w:lang w:val="en-US"/>
      </w:rPr>
    </w:pPr>
    <w:r>
      <w:rPr>
        <w:rFonts w:hint="eastAsia" w:ascii="宋体" w:hAnsi="宋体" w:eastAsia="宋体" w:cs="宋体"/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align>top</wp:align>
              </wp:positionV>
              <wp:extent cx="1828800" cy="1828800"/>
              <wp:effectExtent l="4445" t="4445" r="14605" b="14605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1DD7471">
                          <w:pPr>
                            <w:rPr>
                              <w:rFonts w:hint="eastAsia" w:ascii="宋体" w:hAnsi="宋体" w:eastAsia="宋体" w:cs="宋体"/>
                              <w:sz w:val="28"/>
                              <w:lang w:val="en-US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lang w:val="en-US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lang w:val="en-US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lang w:val="en-US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lang w:val="en-US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height:144pt;width:144pt;mso-position-horizontal:outside;mso-position-horizontal-relative:margin;mso-position-vertical:top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1DD7471">
                    <w:pPr>
                      <w:rPr>
                        <w:rFonts w:hint="eastAsia" w:ascii="宋体" w:hAnsi="宋体" w:eastAsia="宋体" w:cs="宋体"/>
                        <w:sz w:val="28"/>
                        <w:lang w:val="en-US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lang w:val="en-US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lang w:val="en-US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lang w:val="en-US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lang w:val="en-US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lang w:val="en-US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dit="readOnly" w:enforcement="0"/>
  <w:defaultTabStop w:val="420"/>
  <w:drawingGridHorizontalSpacing w:val="210"/>
  <w:drawingGridVerticalSpacing w:val="159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EBE966E"/>
    <w:rsid w:val="4C3720F9"/>
    <w:rsid w:val="6F79DDBC"/>
    <w:rsid w:val="75A93BD5"/>
    <w:rsid w:val="7EDAE20A"/>
    <w:rsid w:val="7FF94A47"/>
    <w:rsid w:val="BF338B71"/>
    <w:rsid w:val="DEB7BD1B"/>
    <w:rsid w:val="DEBE966E"/>
    <w:rsid w:val="FB600498"/>
    <w:rsid w:val="FF3F11BD"/>
    <w:rsid w:val="FF57B251"/>
    <w:rsid w:val="FF992357"/>
    <w:rsid w:val="FFFB1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unhideWhenUsed/>
    <w:qFormat/>
    <w:uiPriority w:val="99"/>
    <w:pPr>
      <w:widowControl w:val="0"/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kern w:val="2"/>
      <w:sz w:val="18"/>
      <w:szCs w:val="18"/>
      <w:lang w:val="en-US" w:eastAsia="zh-CN" w:bidi="ar-SA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NormalIndent"/>
    <w:next w:val="1"/>
    <w:qFormat/>
    <w:uiPriority w:val="0"/>
    <w:pPr>
      <w:widowControl w:val="0"/>
      <w:spacing w:line="240" w:lineRule="auto"/>
      <w:ind w:firstLine="420"/>
      <w:jc w:val="both"/>
      <w:textAlignment w:val="baseline"/>
    </w:pPr>
    <w:rPr>
      <w:rFonts w:ascii="Times New Roman" w:hAnsi="Times New Roman" w:eastAsia="宋体" w:cs="Times New Roman"/>
      <w:snapToGrid w:val="0"/>
      <w:kern w:val="0"/>
      <w:sz w:val="32"/>
      <w:szCs w:val="32"/>
      <w:lang w:val="en-US" w:eastAsia="zh-CN" w:bidi="ar-SA"/>
    </w:rPr>
  </w:style>
  <w:style w:type="paragraph" w:customStyle="1" w:styleId="7">
    <w:name w:val="p0"/>
    <w:qFormat/>
    <w:uiPriority w:val="0"/>
    <w:pPr>
      <w:widowControl/>
      <w:jc w:val="both"/>
    </w:pPr>
    <w:rPr>
      <w:rFonts w:hint="eastAsia"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354</Words>
  <Characters>370</Characters>
  <Lines>0</Lines>
  <Paragraphs>0</Paragraphs>
  <TotalTime>0</TotalTime>
  <ScaleCrop>false</ScaleCrop>
  <LinksUpToDate>false</LinksUpToDate>
  <CharactersWithSpaces>411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2026-02-28T22:58:00Z</dcterms:created>
  <dc:creator>刘旻浩</dc:creator>
  <cp:lastModifiedBy>浩HhAaOo</cp:lastModifiedBy>
  <dcterms:modified xsi:type="dcterms:W3CDTF">2026-03-25T06:42:17Z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37316B3E6C58E759CB50C269FA10E32E</vt:lpwstr>
  </property>
  <property fmtid="{D5CDD505-2E9C-101B-9397-08002B2CF9AE}" pid="4" name="KSOTemplateDocerSaveRecord">
    <vt:lpwstr>eyJoZGlkIjoiNjU2MmJiM2M2ZTA1ZGNmNDFlZWJjMjc0YzcwNWNhNmIiLCJ1c2VySWQiOiIzNDUxMjgzMjIifQ==</vt:lpwstr>
  </property>
</Properties>
</file>