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cs="Times New Roman"/>
          <w:b/>
          <w:color w:val="FF0000"/>
          <w:w w:val="95"/>
          <w:kern w:val="0"/>
          <w:sz w:val="44"/>
          <w:szCs w:val="116"/>
        </w:rPr>
      </w:pPr>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cs="Times New Roman"/>
          <w:snapToGrid w:val="0"/>
          <w:spacing w:val="85"/>
          <w:w w:val="90"/>
          <w:sz w:val="72"/>
          <w:szCs w:val="72"/>
        </w:rPr>
      </w:pPr>
      <w:r>
        <w:rPr>
          <w:rFonts w:hint="eastAsia" w:ascii="方正小标宋简体" w:hAnsi="方正小标宋简体" w:eastAsia="方正小标宋简体" w:cs="Times New Roman"/>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28"/>
          <w:szCs w:val="28"/>
        </w:rPr>
      </w:pPr>
    </w:p>
    <w:p>
      <w:pPr>
        <w:snapToGrid w:val="0"/>
        <w:spacing w:before="156" w:beforeLines="50" w:line="300" w:lineRule="auto"/>
        <w:jc w:val="center"/>
        <w:rPr>
          <w:rFonts w:ascii="黑体" w:hAnsi="Times New Roman" w:eastAsia="黑体" w:cs="Times New Roman"/>
          <w:color w:val="000000"/>
          <w:spacing w:val="12"/>
          <w:sz w:val="32"/>
          <w:szCs w:val="20"/>
        </w:rPr>
      </w:pPr>
      <w:bookmarkStart w:id="0" w:name="WH"/>
      <w:bookmarkEnd w:id="0"/>
      <w:r>
        <w:rPr>
          <w:rFonts w:hint="eastAsia" w:ascii="仿宋_GB2312" w:hAnsi="Times New Roman" w:eastAsia="仿宋_GB2312" w:cs="Times New Roman"/>
          <w:color w:val="000000"/>
          <w:spacing w:val="12"/>
          <w:sz w:val="28"/>
          <w:szCs w:val="20"/>
        </w:rPr>
        <w:t>〔20</w:t>
      </w:r>
      <w:r>
        <w:rPr>
          <w:rFonts w:hint="eastAsia" w:ascii="仿宋_GB2312" w:hAnsi="Times New Roman" w:eastAsia="仿宋_GB2312" w:cs="Times New Roman"/>
          <w:color w:val="000000"/>
          <w:spacing w:val="12"/>
          <w:sz w:val="28"/>
          <w:szCs w:val="20"/>
          <w:lang w:val="en-US" w:eastAsia="zh-CN"/>
        </w:rPr>
        <w:t>2</w:t>
      </w:r>
      <w:r>
        <w:rPr>
          <w:rFonts w:hint="default" w:ascii="仿宋_GB2312" w:hAnsi="Times New Roman" w:eastAsia="仿宋_GB2312" w:cs="Times New Roman"/>
          <w:color w:val="000000"/>
          <w:spacing w:val="12"/>
          <w:sz w:val="28"/>
          <w:szCs w:val="20"/>
          <w:lang w:val="en-US" w:eastAsia="zh-CN"/>
        </w:rPr>
        <w:t>5</w:t>
      </w:r>
      <w:r>
        <w:rPr>
          <w:rFonts w:hint="eastAsia" w:ascii="仿宋_GB2312" w:hAnsi="Times New Roman" w:eastAsia="仿宋_GB2312" w:cs="Times New Roman"/>
          <w:color w:val="000000"/>
          <w:spacing w:val="12"/>
          <w:sz w:val="28"/>
          <w:szCs w:val="20"/>
        </w:rPr>
        <w:t>〕</w:t>
      </w:r>
      <w:r>
        <w:rPr>
          <w:rFonts w:hint="default" w:ascii="仿宋_GB2312" w:hAnsi="Times New Roman" w:eastAsia="仿宋_GB2312" w:cs="Times New Roman"/>
          <w:color w:val="000000"/>
          <w:spacing w:val="12"/>
          <w:sz w:val="28"/>
          <w:szCs w:val="20"/>
          <w:lang w:val="en-US"/>
        </w:rPr>
        <w:t>183</w:t>
      </w:r>
      <w:r>
        <w:rPr>
          <w:rFonts w:hint="eastAsia" w:ascii="仿宋_GB2312" w:hAnsi="Times New Roman" w:eastAsia="仿宋_GB2312" w:cs="Times New Roman"/>
          <w:color w:val="000000"/>
          <w:spacing w:val="12"/>
          <w:sz w:val="28"/>
          <w:szCs w:val="20"/>
        </w:rPr>
        <w:t>号</w:t>
      </w:r>
    </w:p>
    <w:p>
      <w:pPr>
        <w:snapToGrid w:val="0"/>
        <w:jc w:val="center"/>
        <w:rPr>
          <w:rFonts w:hint="eastAsia" w:ascii="仿宋_GB2312" w:hAnsi="仿宋_GB2312" w:eastAsia="仿宋_GB2312" w:cs="Times New Roman"/>
          <w:sz w:val="28"/>
          <w:szCs w:val="28"/>
        </w:rPr>
      </w:pPr>
      <w:r>
        <w:rPr>
          <w:rFonts w:ascii="Times New Roman" w:hAnsi="Times New Roman" w:eastAsia="宋体" w:cs="Times New Roman"/>
          <w:szCs w:val="20"/>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MwvtZLWAAAACAEAAA8AAAAAAAAA&#10;AQAgAAAAOAAAAGRycy9kb3ducmV2LnhtbFBLAQIUABQAAAAIAIdO4kAV8uZj/QEAAPUDAAAOAAAA&#10;AAAAAAEAIAAAADsBAABkcnMvZTJvRG9jLnhtbFBLBQYAAAAABgAGAFkBAACqBQAAAAA=&#10;">
                <v:fill on="f" focussize="0,0"/>
                <v:stroke weight="1pt" color="#FF0000" joinstyle="round"/>
                <v:imagedata o:title=""/>
                <o:lock v:ext="edit" aspectratio="f"/>
              </v:line>
            </w:pict>
          </mc:Fallback>
        </mc:AlternateContent>
      </w:r>
    </w:p>
    <w:p>
      <w:pPr>
        <w:jc w:val="center"/>
        <w:rPr>
          <w:rFonts w:hint="eastAsia" w:ascii="Times New Roman" w:hAnsi="Times New Roman" w:eastAsia="宋体"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44"/>
          <w:szCs w:val="44"/>
          <w:lang w:eastAsia="zh-CN"/>
        </w:rPr>
      </w:pPr>
      <w:bookmarkStart w:id="2" w:name="_GoBack"/>
      <w:bookmarkStart w:id="1" w:name="quanwen"/>
      <w:r>
        <w:rPr>
          <w:rFonts w:hint="eastAsia" w:ascii="方正小标宋简体" w:hAnsi="方正小标宋简体" w:eastAsia="方正小标宋简体" w:cs="方正小标宋简体"/>
          <w:sz w:val="44"/>
          <w:szCs w:val="44"/>
          <w:lang w:eastAsia="zh-CN"/>
        </w:rPr>
        <w:t>关于对江门市科恒实业股份有限公司、万国江、徐毓湘采取出具警示函措施的决定</w:t>
      </w:r>
    </w:p>
    <w:bookmarkEnd w:id="2"/>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both"/>
        <w:textAlignment w:val="auto"/>
        <w:rPr>
          <w:rFonts w:hint="eastAsia" w:ascii="方正小标宋简体" w:hAnsi="方正小标宋简体" w:eastAsia="方正小标宋简体" w:cs="方正小标宋简体"/>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0" w:firstLineChars="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pacing w:val="-6"/>
          <w:sz w:val="32"/>
          <w:szCs w:val="32"/>
          <w:lang w:eastAsia="zh-CN"/>
        </w:rPr>
        <w:t>江门市科恒实业股份有限公司、万国江、徐毓湘</w:t>
      </w:r>
      <w:r>
        <w:rPr>
          <w:rFonts w:hint="eastAsia" w:ascii="仿宋_GB2312" w:hAnsi="仿宋_GB2312" w:eastAsia="仿宋_GB2312" w:cs="仿宋_GB2312"/>
          <w:spacing w:val="-6"/>
          <w:sz w:val="32"/>
          <w:szCs w:val="32"/>
          <w:highlight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36" w:lineRule="auto"/>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经查，</w:t>
      </w:r>
      <w:r>
        <w:rPr>
          <w:rFonts w:hint="eastAsia" w:ascii="仿宋_GB2312" w:hAnsi="仿宋_GB2312" w:eastAsia="仿宋_GB2312" w:cs="仿宋_GB2312"/>
          <w:spacing w:val="-6"/>
          <w:sz w:val="32"/>
          <w:szCs w:val="32"/>
          <w:highlight w:val="none"/>
          <w:lang w:eastAsia="zh-CN"/>
        </w:rPr>
        <w:t>江门市科恒实业股份有限公司</w:t>
      </w:r>
      <w:r>
        <w:rPr>
          <w:rFonts w:hint="eastAsia" w:ascii="仿宋_GB2312" w:hAnsi="仿宋_GB2312" w:eastAsia="仿宋_GB2312" w:cs="仿宋_GB2312"/>
          <w:sz w:val="32"/>
          <w:szCs w:val="32"/>
          <w:highlight w:val="none"/>
          <w:lang w:eastAsia="zh-CN"/>
        </w:rPr>
        <w:t>（以下简称科恒股份或公司）存在以下违规行为：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36" w:lineRule="auto"/>
        <w:ind w:firstLine="640" w:firstLineChars="200"/>
        <w:rPr>
          <w:rFonts w:hint="eastAsia" w:ascii="仿宋_GB2312" w:hAnsi="Calibri" w:eastAsia="仿宋_GB2312" w:cs="Times New Roman"/>
          <w:sz w:val="32"/>
          <w:szCs w:val="32"/>
          <w:highlight w:val="none"/>
          <w:lang w:eastAsia="zh-CN"/>
        </w:rPr>
      </w:pPr>
      <w:r>
        <w:rPr>
          <w:rFonts w:hint="eastAsia" w:ascii="黑体" w:hAnsi="黑体" w:eastAsia="黑体" w:cs="黑体"/>
          <w:b w:val="0"/>
          <w:bCs/>
          <w:sz w:val="32"/>
          <w:szCs w:val="32"/>
          <w:highlight w:val="none"/>
          <w:lang w:eastAsia="zh-CN"/>
        </w:rPr>
        <w:t>一、关联交易未及时审议披露。</w:t>
      </w:r>
      <w:r>
        <w:rPr>
          <w:rFonts w:ascii="仿宋_GB2312" w:hAnsi="Calibri" w:eastAsia="仿宋_GB2312" w:cs="Times New Roman"/>
          <w:b/>
          <w:sz w:val="32"/>
          <w:szCs w:val="32"/>
          <w:highlight w:val="none"/>
        </w:rPr>
        <w:t>一是</w:t>
      </w:r>
      <w:r>
        <w:rPr>
          <w:rFonts w:ascii="仿宋_GB2312" w:hAnsi="Calibri" w:eastAsia="仿宋_GB2312" w:cs="Times New Roman"/>
          <w:sz w:val="32"/>
          <w:szCs w:val="32"/>
          <w:highlight w:val="none"/>
        </w:rPr>
        <w:t>2022年10月28日</w:t>
      </w:r>
      <w:r>
        <w:rPr>
          <w:rFonts w:hint="eastAsia" w:ascii="仿宋_GB2312" w:hAnsi="Calibri" w:eastAsia="仿宋_GB2312" w:cs="Times New Roman"/>
          <w:sz w:val="32"/>
          <w:szCs w:val="32"/>
          <w:highlight w:val="none"/>
        </w:rPr>
        <w:t>，</w:t>
      </w:r>
      <w:r>
        <w:rPr>
          <w:rFonts w:ascii="仿宋_GB2312" w:hAnsi="Calibri" w:eastAsia="仿宋_GB2312" w:cs="Times New Roman"/>
          <w:sz w:val="32"/>
          <w:szCs w:val="32"/>
          <w:highlight w:val="none"/>
        </w:rPr>
        <w:t>公司与珠海格力金融投资管理有限公司</w:t>
      </w:r>
      <w:r>
        <w:rPr>
          <w:rFonts w:hint="eastAsia" w:ascii="仿宋_GB2312" w:hAnsi="Calibri" w:eastAsia="仿宋_GB2312" w:cs="Times New Roman"/>
          <w:sz w:val="32"/>
          <w:szCs w:val="32"/>
          <w:highlight w:val="none"/>
          <w:lang w:eastAsia="zh-CN"/>
        </w:rPr>
        <w:t>（</w:t>
      </w:r>
      <w:r>
        <w:rPr>
          <w:rFonts w:ascii="仿宋_GB2312" w:hAnsi="Calibri" w:eastAsia="仿宋_GB2312" w:cs="Times New Roman"/>
          <w:sz w:val="32"/>
          <w:szCs w:val="32"/>
          <w:highlight w:val="none"/>
        </w:rPr>
        <w:t>以下简称格力金投</w:t>
      </w:r>
      <w:r>
        <w:rPr>
          <w:rFonts w:hint="eastAsia" w:ascii="仿宋_GB2312" w:hAnsi="Calibri" w:eastAsia="仿宋_GB2312" w:cs="Times New Roman"/>
          <w:sz w:val="32"/>
          <w:szCs w:val="32"/>
          <w:highlight w:val="none"/>
          <w:lang w:eastAsia="zh-CN"/>
        </w:rPr>
        <w:t>）</w:t>
      </w:r>
      <w:r>
        <w:rPr>
          <w:rFonts w:ascii="仿宋_GB2312" w:hAnsi="Calibri" w:eastAsia="仿宋_GB2312" w:cs="Times New Roman"/>
          <w:sz w:val="32"/>
          <w:szCs w:val="32"/>
          <w:highlight w:val="none"/>
        </w:rPr>
        <w:t>签署《附条件生效的股份认购协议》，约定格力金投为</w:t>
      </w:r>
      <w:r>
        <w:rPr>
          <w:rFonts w:hint="eastAsia" w:ascii="仿宋_GB2312" w:hAnsi="Calibri" w:eastAsia="仿宋_GB2312" w:cs="Times New Roman"/>
          <w:sz w:val="32"/>
          <w:szCs w:val="32"/>
          <w:highlight w:val="none"/>
          <w:lang w:eastAsia="zh-CN"/>
        </w:rPr>
        <w:t>公司定增股份发行</w:t>
      </w:r>
      <w:r>
        <w:rPr>
          <w:rFonts w:ascii="仿宋_GB2312" w:hAnsi="Calibri" w:eastAsia="仿宋_GB2312" w:cs="Times New Roman"/>
          <w:sz w:val="32"/>
          <w:szCs w:val="32"/>
          <w:highlight w:val="none"/>
        </w:rPr>
        <w:t>特定对象，交易完成后，格力金投将成为公司控股股东。根据《深交所创业板股票上市规则》第7.2.3条</w:t>
      </w:r>
      <w:r>
        <w:rPr>
          <w:rFonts w:hint="eastAsia" w:ascii="仿宋_GB2312" w:hAnsi="Calibri" w:eastAsia="仿宋_GB2312" w:cs="Times New Roman"/>
          <w:sz w:val="32"/>
          <w:szCs w:val="32"/>
          <w:highlight w:val="none"/>
          <w:lang w:eastAsia="zh-CN"/>
        </w:rPr>
        <w:t>、</w:t>
      </w:r>
      <w:r>
        <w:rPr>
          <w:rFonts w:ascii="仿宋_GB2312" w:hAnsi="Calibri" w:eastAsia="仿宋_GB2312" w:cs="Times New Roman"/>
          <w:sz w:val="32"/>
          <w:szCs w:val="32"/>
          <w:highlight w:val="none"/>
        </w:rPr>
        <w:t>第7.2.6条</w:t>
      </w:r>
      <w:r>
        <w:rPr>
          <w:rFonts w:hint="eastAsia" w:ascii="仿宋_GB2312" w:hAnsi="Calibri" w:eastAsia="仿宋_GB2312" w:cs="Times New Roman"/>
          <w:sz w:val="32"/>
          <w:szCs w:val="32"/>
          <w:highlight w:val="none"/>
        </w:rPr>
        <w:t>，</w:t>
      </w:r>
      <w:r>
        <w:rPr>
          <w:rFonts w:ascii="仿宋_GB2312" w:hAnsi="Calibri" w:eastAsia="仿宋_GB2312" w:cs="Times New Roman"/>
          <w:sz w:val="32"/>
          <w:szCs w:val="32"/>
          <w:highlight w:val="none"/>
        </w:rPr>
        <w:t>格力金投为公司关联方。2022年7月20日，公司与珠海格力供应链管理有限公司(以下简称格力供应链)签署《合作</w:t>
      </w:r>
      <w:r>
        <w:rPr>
          <w:rFonts w:hint="eastAsia" w:ascii="仿宋_GB2312" w:hAnsi="Calibri" w:eastAsia="仿宋_GB2312" w:cs="Times New Roman"/>
          <w:sz w:val="32"/>
          <w:szCs w:val="32"/>
          <w:highlight w:val="none"/>
        </w:rPr>
        <w:t>框架协议</w:t>
      </w:r>
      <w:r>
        <w:rPr>
          <w:rFonts w:hint="eastAsia" w:ascii="仿宋_GB2312" w:hAnsi="仿宋_GB2312" w:eastAsia="仿宋_GB2312" w:cs="仿宋_GB2312"/>
          <w:sz w:val="32"/>
          <w:szCs w:val="32"/>
          <w:highlight w:val="none"/>
        </w:rPr>
        <w:t>》，约定格力供应链为</w:t>
      </w:r>
      <w:r>
        <w:rPr>
          <w:rFonts w:hint="eastAsia" w:ascii="仿宋_GB2312" w:hAnsi="仿宋_GB2312" w:eastAsia="仿宋_GB2312" w:cs="仿宋_GB2312"/>
          <w:sz w:val="32"/>
          <w:szCs w:val="32"/>
          <w:highlight w:val="none"/>
          <w:lang w:eastAsia="zh-CN"/>
        </w:rPr>
        <w:t>科恒股份</w:t>
      </w:r>
      <w:r>
        <w:rPr>
          <w:rFonts w:hint="eastAsia" w:ascii="仿宋_GB2312" w:hAnsi="仿宋_GB2312" w:eastAsia="仿宋_GB2312" w:cs="仿宋_GB2312"/>
          <w:sz w:val="32"/>
          <w:szCs w:val="32"/>
          <w:highlight w:val="none"/>
        </w:rPr>
        <w:t>提供</w:t>
      </w:r>
      <w:r>
        <w:rPr>
          <w:rFonts w:ascii="仿宋_GB2312" w:hAnsi="Calibri" w:eastAsia="仿宋_GB2312" w:cs="Times New Roman"/>
          <w:sz w:val="32"/>
          <w:szCs w:val="32"/>
          <w:highlight w:val="none"/>
        </w:rPr>
        <w:t>3亿元原料</w:t>
      </w:r>
      <w:r>
        <w:rPr>
          <w:rFonts w:hint="eastAsia" w:ascii="仿宋_GB2312" w:hAnsi="Calibri" w:eastAsia="仿宋_GB2312" w:cs="Times New Roman"/>
          <w:sz w:val="32"/>
          <w:szCs w:val="32"/>
          <w:highlight w:val="none"/>
        </w:rPr>
        <w:t>采购业务额度。</w:t>
      </w:r>
      <w:r>
        <w:rPr>
          <w:rFonts w:hint="eastAsia" w:ascii="仿宋_GB2312" w:hAnsi="Calibri" w:eastAsia="仿宋_GB2312" w:cs="Times New Roman"/>
          <w:sz w:val="32"/>
          <w:szCs w:val="32"/>
          <w:highlight w:val="none"/>
          <w:lang w:val="en-US" w:eastAsia="zh-CN"/>
        </w:rPr>
        <w:t>2022年</w:t>
      </w:r>
      <w:r>
        <w:rPr>
          <w:rFonts w:ascii="仿宋_GB2312" w:hAnsi="Calibri" w:eastAsia="仿宋_GB2312" w:cs="Times New Roman"/>
          <w:sz w:val="32"/>
          <w:szCs w:val="32"/>
          <w:highlight w:val="none"/>
        </w:rPr>
        <w:t>11月30日，公司与格力供应链签署了新的《合作框架协议》并终止了2022年7月签署的《合作框架协议》，协议约定格力供应链为</w:t>
      </w:r>
      <w:r>
        <w:rPr>
          <w:rFonts w:hint="eastAsia" w:ascii="仿宋_GB2312" w:hAnsi="Calibri" w:eastAsia="仿宋_GB2312" w:cs="Times New Roman"/>
          <w:sz w:val="32"/>
          <w:szCs w:val="32"/>
          <w:highlight w:val="none"/>
          <w:lang w:eastAsia="zh-CN"/>
        </w:rPr>
        <w:t>科恒股份及</w:t>
      </w:r>
      <w:r>
        <w:rPr>
          <w:rFonts w:ascii="仿宋_GB2312" w:hAnsi="Calibri" w:eastAsia="仿宋_GB2312" w:cs="Times New Roman"/>
          <w:sz w:val="32"/>
          <w:szCs w:val="32"/>
          <w:highlight w:val="none"/>
        </w:rPr>
        <w:t>子公司提供6.5亿元原料采购业务额度。格力金投</w:t>
      </w:r>
      <w:r>
        <w:rPr>
          <w:rFonts w:hint="eastAsia" w:ascii="仿宋_GB2312" w:hAnsi="Calibri" w:eastAsia="仿宋_GB2312" w:cs="Times New Roman"/>
          <w:sz w:val="32"/>
          <w:szCs w:val="32"/>
          <w:highlight w:val="none"/>
          <w:lang w:eastAsia="zh-CN"/>
        </w:rPr>
        <w:t>与</w:t>
      </w:r>
      <w:r>
        <w:rPr>
          <w:rFonts w:ascii="仿宋_GB2312" w:hAnsi="Calibri" w:eastAsia="仿宋_GB2312" w:cs="Times New Roman"/>
          <w:sz w:val="32"/>
          <w:szCs w:val="32"/>
          <w:highlight w:val="none"/>
        </w:rPr>
        <w:t>格力供应链为</w:t>
      </w:r>
      <w:r>
        <w:rPr>
          <w:rFonts w:hint="eastAsia" w:ascii="仿宋_GB2312" w:hAnsi="Calibri" w:eastAsia="仿宋_GB2312" w:cs="Times New Roman"/>
          <w:sz w:val="32"/>
          <w:szCs w:val="32"/>
          <w:highlight w:val="none"/>
          <w:lang w:eastAsia="zh-CN"/>
        </w:rPr>
        <w:t>同一控制下关联企业</w:t>
      </w:r>
      <w:r>
        <w:rPr>
          <w:rFonts w:hint="eastAsia" w:ascii="仿宋_GB2312" w:hAnsi="Calibri" w:eastAsia="仿宋_GB2312" w:cs="Times New Roman"/>
          <w:sz w:val="32"/>
          <w:szCs w:val="32"/>
          <w:highlight w:val="none"/>
        </w:rPr>
        <w:t>，</w:t>
      </w:r>
      <w:r>
        <w:rPr>
          <w:rFonts w:hint="eastAsia" w:ascii="仿宋_GB2312" w:hAnsi="Calibri" w:eastAsia="仿宋_GB2312" w:cs="Times New Roman"/>
          <w:sz w:val="32"/>
          <w:szCs w:val="32"/>
          <w:highlight w:val="none"/>
          <w:lang w:eastAsia="zh-CN"/>
        </w:rPr>
        <w:t>格力供应链为公司关联方，</w:t>
      </w:r>
      <w:r>
        <w:rPr>
          <w:rFonts w:ascii="仿宋_GB2312" w:hAnsi="Calibri" w:eastAsia="仿宋_GB2312" w:cs="Times New Roman"/>
          <w:sz w:val="32"/>
          <w:szCs w:val="32"/>
          <w:highlight w:val="none"/>
        </w:rPr>
        <w:t>上述交易构成关联交易</w:t>
      </w:r>
      <w:r>
        <w:rPr>
          <w:rFonts w:hint="eastAsia" w:ascii="仿宋_GB2312" w:hAnsi="Calibri" w:eastAsia="仿宋_GB2312" w:cs="Times New Roman"/>
          <w:sz w:val="32"/>
          <w:szCs w:val="32"/>
          <w:highlight w:val="none"/>
        </w:rPr>
        <w:t>。公司未及时将格力供应链识别为关联方并履行关联交易审议程序和信息披露义务</w:t>
      </w:r>
      <w:r>
        <w:rPr>
          <w:rFonts w:hint="eastAsia" w:ascii="仿宋_GB2312" w:hAnsi="Calibri" w:eastAsia="仿宋_GB2312" w:cs="Times New Roman"/>
          <w:sz w:val="32"/>
          <w:szCs w:val="32"/>
          <w:highlight w:val="none"/>
          <w:lang w:eastAsia="zh-CN"/>
        </w:rPr>
        <w:t>，迟</w:t>
      </w:r>
      <w:r>
        <w:rPr>
          <w:rFonts w:hint="eastAsia" w:ascii="仿宋_GB2312" w:hAnsi="Calibri" w:eastAsia="仿宋_GB2312" w:cs="Times New Roman"/>
          <w:sz w:val="32"/>
          <w:szCs w:val="32"/>
          <w:highlight w:val="none"/>
        </w:rPr>
        <w:t>至</w:t>
      </w:r>
      <w:r>
        <w:rPr>
          <w:rFonts w:ascii="仿宋_GB2312" w:hAnsi="Calibri" w:eastAsia="仿宋_GB2312" w:cs="Times New Roman"/>
          <w:sz w:val="32"/>
          <w:szCs w:val="32"/>
          <w:highlight w:val="none"/>
        </w:rPr>
        <w:t>2023</w:t>
      </w:r>
      <w:r>
        <w:rPr>
          <w:rFonts w:hint="eastAsia" w:ascii="仿宋_GB2312" w:hAnsi="Calibri" w:eastAsia="仿宋_GB2312" w:cs="Times New Roman"/>
          <w:sz w:val="32"/>
          <w:szCs w:val="32"/>
          <w:highlight w:val="none"/>
        </w:rPr>
        <w:t>年3</w:t>
      </w:r>
      <w:r>
        <w:rPr>
          <w:rFonts w:ascii="仿宋_GB2312" w:hAnsi="Calibri" w:eastAsia="仿宋_GB2312" w:cs="Times New Roman"/>
          <w:sz w:val="32"/>
          <w:szCs w:val="32"/>
          <w:highlight w:val="none"/>
        </w:rPr>
        <w:t>月17日、4月3日，才分别</w:t>
      </w:r>
      <w:r>
        <w:rPr>
          <w:rFonts w:hint="eastAsia" w:ascii="仿宋_GB2312" w:hAnsi="Calibri" w:eastAsia="仿宋_GB2312" w:cs="Times New Roman"/>
          <w:sz w:val="32"/>
          <w:szCs w:val="32"/>
          <w:highlight w:val="none"/>
          <w:lang w:eastAsia="zh-CN"/>
        </w:rPr>
        <w:t>经</w:t>
      </w:r>
      <w:r>
        <w:rPr>
          <w:rFonts w:ascii="仿宋_GB2312" w:hAnsi="Calibri" w:eastAsia="仿宋_GB2312" w:cs="Times New Roman"/>
          <w:sz w:val="32"/>
          <w:szCs w:val="32"/>
          <w:highlight w:val="none"/>
        </w:rPr>
        <w:t>董事会和股东大会补充审议通过《关于关联交易的议案》。</w:t>
      </w:r>
      <w:r>
        <w:rPr>
          <w:rFonts w:hint="eastAsia" w:ascii="仿宋_GB2312" w:hAnsi="Calibri" w:eastAsia="仿宋_GB2312" w:cs="Times New Roman"/>
          <w:b w:val="0"/>
          <w:bCs/>
          <w:sz w:val="32"/>
          <w:szCs w:val="32"/>
          <w:highlight w:val="none"/>
          <w:lang w:eastAsia="zh-CN"/>
        </w:rPr>
        <w:t>经核实，</w:t>
      </w:r>
      <w:r>
        <w:rPr>
          <w:rFonts w:ascii="仿宋_GB2312" w:hAnsi="Calibri" w:eastAsia="仿宋_GB2312" w:cs="Times New Roman"/>
          <w:sz w:val="32"/>
          <w:szCs w:val="32"/>
          <w:highlight w:val="none"/>
        </w:rPr>
        <w:t>2022年10月</w:t>
      </w:r>
      <w:r>
        <w:rPr>
          <w:rFonts w:hint="eastAsia" w:ascii="仿宋_GB2312" w:hAnsi="Calibri" w:eastAsia="仿宋_GB2312" w:cs="Times New Roman"/>
          <w:sz w:val="32"/>
          <w:szCs w:val="32"/>
          <w:highlight w:val="none"/>
          <w:lang w:val="en-US" w:eastAsia="zh-CN"/>
        </w:rPr>
        <w:t>29日</w:t>
      </w:r>
      <w:r>
        <w:rPr>
          <w:rFonts w:ascii="仿宋_GB2312" w:hAnsi="Calibri" w:eastAsia="仿宋_GB2312" w:cs="Times New Roman"/>
          <w:sz w:val="32"/>
          <w:szCs w:val="32"/>
          <w:highlight w:val="none"/>
        </w:rPr>
        <w:t>至12月</w:t>
      </w:r>
      <w:r>
        <w:rPr>
          <w:rFonts w:hint="eastAsia" w:ascii="仿宋_GB2312" w:hAnsi="Calibri" w:eastAsia="仿宋_GB2312" w:cs="Times New Roman"/>
          <w:sz w:val="32"/>
          <w:szCs w:val="32"/>
          <w:highlight w:val="none"/>
          <w:lang w:val="en-US" w:eastAsia="zh-CN"/>
        </w:rPr>
        <w:t>31日</w:t>
      </w:r>
      <w:r>
        <w:rPr>
          <w:rFonts w:ascii="仿宋_GB2312" w:hAnsi="Calibri" w:eastAsia="仿宋_GB2312" w:cs="Times New Roman"/>
          <w:sz w:val="32"/>
          <w:szCs w:val="32"/>
          <w:highlight w:val="none"/>
        </w:rPr>
        <w:t>，公司向格力供应链采购原材料3.6亿元</w:t>
      </w:r>
      <w:r>
        <w:rPr>
          <w:rFonts w:hint="eastAsia" w:ascii="仿宋_GB2312" w:hAnsi="Calibri" w:eastAsia="仿宋_GB2312" w:cs="Times New Roman"/>
          <w:sz w:val="32"/>
          <w:szCs w:val="32"/>
          <w:highlight w:val="none"/>
        </w:rPr>
        <w:t>；</w:t>
      </w:r>
      <w:r>
        <w:rPr>
          <w:rFonts w:ascii="仿宋_GB2312" w:hAnsi="Calibri" w:eastAsia="仿宋_GB2312" w:cs="Times New Roman"/>
          <w:sz w:val="32"/>
          <w:szCs w:val="32"/>
          <w:highlight w:val="none"/>
        </w:rPr>
        <w:t>2023年1月</w:t>
      </w:r>
      <w:r>
        <w:rPr>
          <w:rFonts w:hint="eastAsia" w:ascii="仿宋_GB2312" w:hAnsi="Calibri" w:eastAsia="仿宋_GB2312" w:cs="Times New Roman"/>
          <w:sz w:val="32"/>
          <w:szCs w:val="32"/>
          <w:highlight w:val="none"/>
          <w:lang w:val="en-US" w:eastAsia="zh-CN"/>
        </w:rPr>
        <w:t>1日</w:t>
      </w:r>
      <w:r>
        <w:rPr>
          <w:rFonts w:ascii="仿宋_GB2312" w:hAnsi="Calibri" w:eastAsia="仿宋_GB2312" w:cs="Times New Roman"/>
          <w:sz w:val="32"/>
          <w:szCs w:val="32"/>
          <w:highlight w:val="none"/>
        </w:rPr>
        <w:t>至4月3日，公司向关联方格力供应链采购原材料3.06亿元。</w:t>
      </w:r>
      <w:r>
        <w:rPr>
          <w:rFonts w:hint="eastAsia" w:ascii="仿宋_GB2312" w:hAnsi="Calibri" w:eastAsia="仿宋_GB2312" w:cs="Times New Roman"/>
          <w:b/>
          <w:bCs/>
          <w:sz w:val="32"/>
          <w:szCs w:val="32"/>
          <w:highlight w:val="none"/>
          <w:lang w:eastAsia="zh-CN"/>
        </w:rPr>
        <w:t>二是</w:t>
      </w:r>
      <w:r>
        <w:rPr>
          <w:rFonts w:ascii="仿宋_GB2312" w:hAnsi="Calibri" w:eastAsia="仿宋_GB2312" w:cs="Times New Roman"/>
          <w:sz w:val="32"/>
          <w:szCs w:val="32"/>
          <w:highlight w:val="none"/>
        </w:rPr>
        <w:t>《关于关联交易的议案》中仅审议披露了原料采购业务额度6.5亿元</w:t>
      </w:r>
      <w:r>
        <w:rPr>
          <w:rFonts w:hint="eastAsia" w:ascii="仿宋_GB2312" w:hAnsi="Calibri" w:eastAsia="仿宋_GB2312" w:cs="Times New Roman"/>
          <w:sz w:val="32"/>
          <w:szCs w:val="32"/>
          <w:highlight w:val="none"/>
        </w:rPr>
        <w:t>，</w:t>
      </w:r>
      <w:r>
        <w:rPr>
          <w:rFonts w:ascii="仿宋_GB2312" w:hAnsi="Calibri" w:eastAsia="仿宋_GB2312" w:cs="Times New Roman"/>
          <w:sz w:val="32"/>
          <w:szCs w:val="32"/>
          <w:highlight w:val="none"/>
        </w:rPr>
        <w:t>未</w:t>
      </w:r>
      <w:r>
        <w:rPr>
          <w:rFonts w:hint="eastAsia" w:ascii="仿宋_GB2312" w:hAnsi="Calibri" w:eastAsia="仿宋_GB2312" w:cs="Times New Roman"/>
          <w:sz w:val="32"/>
          <w:szCs w:val="32"/>
          <w:highlight w:val="none"/>
          <w:lang w:eastAsia="zh-CN"/>
        </w:rPr>
        <w:t>根据</w:t>
      </w:r>
      <w:r>
        <w:rPr>
          <w:rFonts w:ascii="仿宋_GB2312" w:hAnsi="Calibri" w:eastAsia="仿宋_GB2312" w:cs="Times New Roman"/>
          <w:sz w:val="32"/>
          <w:szCs w:val="32"/>
          <w:highlight w:val="none"/>
        </w:rPr>
        <w:t>《深交所创业板股票上市规则》</w:t>
      </w:r>
      <w:r>
        <w:rPr>
          <w:rFonts w:hint="eastAsia" w:ascii="仿宋_GB2312" w:hAnsi="Calibri" w:eastAsia="仿宋_GB2312" w:cs="Times New Roman"/>
          <w:sz w:val="32"/>
          <w:szCs w:val="32"/>
          <w:highlight w:val="none"/>
          <w:lang w:eastAsia="zh-CN"/>
        </w:rPr>
        <w:t>第</w:t>
      </w:r>
      <w:r>
        <w:rPr>
          <w:rFonts w:hint="eastAsia" w:ascii="仿宋_GB2312" w:hAnsi="Calibri" w:eastAsia="仿宋_GB2312" w:cs="Times New Roman"/>
          <w:sz w:val="32"/>
          <w:szCs w:val="32"/>
          <w:highlight w:val="none"/>
          <w:lang w:val="en-US" w:eastAsia="zh-CN"/>
        </w:rPr>
        <w:t>7.2.15条规定，</w:t>
      </w:r>
      <w:r>
        <w:rPr>
          <w:rFonts w:ascii="仿宋_GB2312" w:hAnsi="Calibri" w:eastAsia="仿宋_GB2312" w:cs="Times New Roman"/>
          <w:sz w:val="32"/>
          <w:szCs w:val="32"/>
          <w:highlight w:val="none"/>
        </w:rPr>
        <w:t>就日常关联交易年度金额进行合理预计并审议披露。2023年公司向关联方格力供应链采购原材料9.59亿元，超出已审议采购业务金额3.09亿元</w:t>
      </w:r>
      <w:r>
        <w:rPr>
          <w:rFonts w:hint="eastAsia" w:ascii="仿宋_GB2312" w:hAnsi="Calibri" w:eastAsia="仿宋_GB2312" w:cs="Times New Roman"/>
          <w:sz w:val="32"/>
          <w:szCs w:val="32"/>
          <w:highlight w:val="none"/>
          <w:lang w:eastAsia="zh-CN"/>
        </w:rPr>
        <w:t>。</w:t>
      </w:r>
      <w:r>
        <w:rPr>
          <w:rFonts w:ascii="仿宋_GB2312" w:hAnsi="Calibri" w:eastAsia="仿宋_GB2312" w:cs="Times New Roman"/>
          <w:sz w:val="32"/>
          <w:szCs w:val="32"/>
          <w:highlight w:val="none"/>
        </w:rPr>
        <w:t>上述情形</w:t>
      </w:r>
      <w:r>
        <w:rPr>
          <w:rFonts w:hint="eastAsia" w:ascii="仿宋_GB2312" w:hAnsi="Calibri" w:eastAsia="仿宋_GB2312" w:cs="Times New Roman"/>
          <w:sz w:val="32"/>
          <w:szCs w:val="32"/>
          <w:highlight w:val="none"/>
          <w:lang w:eastAsia="zh-CN"/>
        </w:rPr>
        <w:t>违反了</w:t>
      </w:r>
      <w:r>
        <w:rPr>
          <w:rFonts w:ascii="仿宋_GB2312" w:hAnsi="Calibri" w:eastAsia="仿宋_GB2312" w:cs="Times New Roman"/>
          <w:sz w:val="32"/>
          <w:szCs w:val="32"/>
          <w:highlight w:val="none"/>
        </w:rPr>
        <w:t>《上市公司信息披露管理办法》</w:t>
      </w:r>
      <w:r>
        <w:rPr>
          <w:rFonts w:hint="eastAsia" w:ascii="仿宋_GB2312" w:hAnsi="Calibri" w:eastAsia="仿宋_GB2312" w:cs="Times New Roman"/>
          <w:sz w:val="32"/>
          <w:szCs w:val="32"/>
          <w:highlight w:val="none"/>
        </w:rPr>
        <w:t>（证监会令第182号</w:t>
      </w:r>
      <w:r>
        <w:rPr>
          <w:rFonts w:hint="eastAsia" w:ascii="仿宋_GB2312" w:hAnsi="Calibri" w:eastAsia="仿宋_GB2312" w:cs="Times New Roman"/>
          <w:sz w:val="32"/>
          <w:szCs w:val="32"/>
          <w:highlight w:val="none"/>
          <w:lang w:eastAsia="zh-CN"/>
        </w:rPr>
        <w:t>，下同</w:t>
      </w:r>
      <w:r>
        <w:rPr>
          <w:rFonts w:hint="eastAsia" w:ascii="仿宋_GB2312" w:hAnsi="Calibri" w:eastAsia="仿宋_GB2312" w:cs="Times New Roman"/>
          <w:sz w:val="32"/>
          <w:szCs w:val="32"/>
          <w:highlight w:val="none"/>
        </w:rPr>
        <w:t>）</w:t>
      </w:r>
      <w:r>
        <w:rPr>
          <w:rFonts w:ascii="仿宋_GB2312" w:hAnsi="Calibri" w:eastAsia="仿宋_GB2312" w:cs="Times New Roman"/>
          <w:sz w:val="32"/>
          <w:szCs w:val="32"/>
          <w:highlight w:val="none"/>
        </w:rPr>
        <w:t>第三条第一款、第四十一条的规定</w:t>
      </w:r>
      <w:r>
        <w:rPr>
          <w:rFonts w:hint="eastAsia" w:ascii="仿宋_GB2312" w:hAnsi="Calibri" w:eastAsia="仿宋_GB2312" w:cs="Times New Roman"/>
          <w:sz w:val="32"/>
          <w:szCs w:val="32"/>
          <w:highlight w:val="none"/>
          <w:lang w:eastAsia="zh-CN"/>
        </w:rPr>
        <w:t>。</w:t>
      </w:r>
    </w:p>
    <w:p>
      <w:pPr>
        <w:snapToGrid w:val="0"/>
        <w:spacing w:beforeLines="0" w:afterLines="0" w:line="336" w:lineRule="auto"/>
        <w:ind w:firstLine="640" w:firstLineChars="200"/>
        <w:rPr>
          <w:rFonts w:hint="eastAsia" w:ascii="Calibri" w:hAnsi="Calibri" w:eastAsia="宋体" w:cs="Times New Roman"/>
          <w:szCs w:val="24"/>
          <w:lang w:eastAsia="zh-CN"/>
        </w:rPr>
      </w:pPr>
      <w:r>
        <w:rPr>
          <w:rFonts w:hint="eastAsia" w:ascii="黑体" w:hAnsi="黑体" w:eastAsia="黑体" w:cs="黑体"/>
          <w:b w:val="0"/>
          <w:bCs/>
          <w:sz w:val="32"/>
          <w:szCs w:val="32"/>
          <w:lang w:val="en" w:eastAsia="zh-CN"/>
        </w:rPr>
        <w:t>二、</w:t>
      </w:r>
      <w:r>
        <w:rPr>
          <w:rFonts w:hint="eastAsia" w:ascii="黑体" w:hAnsi="黑体" w:eastAsia="黑体" w:cs="黑体"/>
          <w:b w:val="0"/>
          <w:bCs/>
          <w:sz w:val="32"/>
          <w:szCs w:val="32"/>
          <w:lang w:eastAsia="zh-CN"/>
        </w:rPr>
        <w:t>未及时披露银行账户冻结情况。</w:t>
      </w:r>
      <w:r>
        <w:rPr>
          <w:rFonts w:hint="eastAsia" w:ascii="仿宋_GB2312" w:hAnsi="Calibri" w:eastAsia="仿宋_GB2312" w:cs="Times New Roman"/>
          <w:sz w:val="32"/>
          <w:szCs w:val="32"/>
        </w:rPr>
        <w:t>2</w:t>
      </w:r>
      <w:r>
        <w:rPr>
          <w:rFonts w:ascii="仿宋_GB2312" w:hAnsi="Calibri" w:eastAsia="仿宋_GB2312" w:cs="Times New Roman"/>
          <w:sz w:val="32"/>
          <w:szCs w:val="32"/>
        </w:rPr>
        <w:t>022</w:t>
      </w:r>
      <w:r>
        <w:rPr>
          <w:rFonts w:hint="eastAsia" w:ascii="仿宋_GB2312" w:hAnsi="Calibri" w:eastAsia="仿宋_GB2312" w:cs="Times New Roman"/>
          <w:sz w:val="32"/>
          <w:szCs w:val="32"/>
        </w:rPr>
        <w:t>年1月起，</w:t>
      </w:r>
      <w:r>
        <w:rPr>
          <w:rFonts w:hint="eastAsia" w:ascii="仿宋_GB2312" w:hAnsi="Calibri" w:eastAsia="仿宋_GB2312" w:cs="Times New Roman"/>
          <w:sz w:val="32"/>
          <w:szCs w:val="32"/>
          <w:lang w:eastAsia="zh-CN"/>
        </w:rPr>
        <w:t>公司</w:t>
      </w:r>
      <w:r>
        <w:rPr>
          <w:rFonts w:hint="eastAsia" w:ascii="仿宋_GB2312" w:hAnsi="Calibri" w:eastAsia="仿宋_GB2312" w:cs="Times New Roman"/>
          <w:sz w:val="32"/>
          <w:szCs w:val="32"/>
        </w:rPr>
        <w:t>子公司</w:t>
      </w:r>
      <w:r>
        <w:rPr>
          <w:rFonts w:hint="eastAsia" w:ascii="仿宋_GB2312" w:hAnsi="Calibri" w:eastAsia="仿宋_GB2312" w:cs="Times New Roman"/>
          <w:sz w:val="32"/>
          <w:szCs w:val="32"/>
          <w:highlight w:val="none"/>
        </w:rPr>
        <w:t>深圳市浩能科技有限公司</w:t>
      </w:r>
      <w:r>
        <w:rPr>
          <w:rFonts w:hint="eastAsia" w:ascii="仿宋_GB2312" w:hAnsi="Calibri" w:eastAsia="仿宋_GB2312" w:cs="Times New Roman"/>
          <w:sz w:val="32"/>
          <w:szCs w:val="32"/>
          <w:highlight w:val="none"/>
          <w:lang w:eastAsia="zh-CN"/>
        </w:rPr>
        <w:t>（以下简称深圳浩能）</w:t>
      </w:r>
      <w:r>
        <w:rPr>
          <w:rFonts w:hint="eastAsia" w:ascii="仿宋_GB2312" w:hAnsi="Calibri" w:eastAsia="仿宋_GB2312" w:cs="Times New Roman"/>
          <w:sz w:val="32"/>
          <w:szCs w:val="32"/>
        </w:rPr>
        <w:t>因无法</w:t>
      </w:r>
      <w:r>
        <w:rPr>
          <w:rFonts w:hint="eastAsia" w:ascii="仿宋_GB2312" w:hAnsi="Calibri" w:eastAsia="仿宋_GB2312" w:cs="Times New Roman"/>
          <w:sz w:val="32"/>
          <w:szCs w:val="32"/>
          <w:lang w:eastAsia="zh-CN"/>
        </w:rPr>
        <w:t>及时</w:t>
      </w:r>
      <w:r>
        <w:rPr>
          <w:rFonts w:hint="eastAsia" w:ascii="仿宋_GB2312" w:hAnsi="Calibri" w:eastAsia="仿宋_GB2312" w:cs="Times New Roman"/>
          <w:sz w:val="32"/>
          <w:szCs w:val="32"/>
        </w:rPr>
        <w:t>偿还供应商货款被供应商提起诉讼，导致</w:t>
      </w:r>
      <w:r>
        <w:rPr>
          <w:rFonts w:hint="eastAsia" w:ascii="仿宋_GB2312" w:hAnsi="Calibri" w:eastAsia="仿宋_GB2312" w:cs="Times New Roman"/>
          <w:sz w:val="32"/>
          <w:szCs w:val="32"/>
          <w:lang w:eastAsia="zh-CN"/>
        </w:rPr>
        <w:t>公司</w:t>
      </w:r>
      <w:r>
        <w:rPr>
          <w:rFonts w:hint="eastAsia" w:ascii="仿宋_GB2312" w:hAnsi="Calibri" w:eastAsia="仿宋_GB2312" w:cs="Times New Roman"/>
          <w:sz w:val="32"/>
          <w:szCs w:val="32"/>
        </w:rPr>
        <w:t>及子公司名下多个银行账户陆续被法院冻结。截至2</w:t>
      </w:r>
      <w:r>
        <w:rPr>
          <w:rFonts w:ascii="仿宋_GB2312" w:hAnsi="Calibri" w:eastAsia="仿宋_GB2312" w:cs="Times New Roman"/>
          <w:sz w:val="32"/>
          <w:szCs w:val="32"/>
        </w:rPr>
        <w:t>022</w:t>
      </w:r>
      <w:r>
        <w:rPr>
          <w:rFonts w:hint="eastAsia" w:ascii="仿宋_GB2312" w:hAnsi="Calibri" w:eastAsia="仿宋_GB2312" w:cs="Times New Roman"/>
          <w:sz w:val="32"/>
          <w:szCs w:val="32"/>
        </w:rPr>
        <w:t>年</w:t>
      </w:r>
      <w:r>
        <w:rPr>
          <w:rFonts w:ascii="仿宋_GB2312" w:hAnsi="Calibri" w:eastAsia="仿宋_GB2312" w:cs="Times New Roman"/>
          <w:sz w:val="32"/>
          <w:szCs w:val="32"/>
        </w:rPr>
        <w:t>5</w:t>
      </w:r>
      <w:r>
        <w:rPr>
          <w:rFonts w:hint="eastAsia" w:ascii="仿宋_GB2312" w:hAnsi="Calibri" w:eastAsia="仿宋_GB2312" w:cs="Times New Roman"/>
          <w:sz w:val="32"/>
          <w:szCs w:val="32"/>
        </w:rPr>
        <w:t>月，冻结金额累计2</w:t>
      </w:r>
      <w:r>
        <w:rPr>
          <w:rFonts w:ascii="仿宋_GB2312" w:hAnsi="Calibri" w:eastAsia="仿宋_GB2312" w:cs="Times New Roman"/>
          <w:sz w:val="32"/>
          <w:szCs w:val="32"/>
        </w:rPr>
        <w:t>,637.79</w:t>
      </w:r>
      <w:r>
        <w:rPr>
          <w:rFonts w:hint="eastAsia" w:ascii="仿宋_GB2312" w:hAnsi="Calibri" w:eastAsia="仿宋_GB2312" w:cs="Times New Roman"/>
          <w:sz w:val="32"/>
          <w:szCs w:val="32"/>
        </w:rPr>
        <w:t>万元，占公司</w:t>
      </w:r>
      <w:r>
        <w:rPr>
          <w:rFonts w:ascii="仿宋_GB2312" w:hAnsi="Calibri" w:eastAsia="仿宋_GB2312" w:cs="Times New Roman"/>
          <w:sz w:val="32"/>
          <w:szCs w:val="32"/>
        </w:rPr>
        <w:t>2021年经审计净资产的3.73%。</w:t>
      </w:r>
      <w:r>
        <w:rPr>
          <w:rFonts w:hint="eastAsia" w:ascii="仿宋_GB2312" w:hAnsi="Calibri" w:eastAsia="仿宋_GB2312" w:cs="Times New Roman"/>
          <w:sz w:val="32"/>
          <w:szCs w:val="32"/>
        </w:rPr>
        <w:t>截至2</w:t>
      </w:r>
      <w:r>
        <w:rPr>
          <w:rFonts w:ascii="仿宋_GB2312" w:hAnsi="Calibri" w:eastAsia="仿宋_GB2312" w:cs="Times New Roman"/>
          <w:sz w:val="32"/>
          <w:szCs w:val="32"/>
        </w:rPr>
        <w:t>023</w:t>
      </w:r>
      <w:r>
        <w:rPr>
          <w:rFonts w:hint="eastAsia" w:ascii="仿宋_GB2312" w:hAnsi="Calibri" w:eastAsia="仿宋_GB2312" w:cs="Times New Roman"/>
          <w:sz w:val="32"/>
          <w:szCs w:val="32"/>
        </w:rPr>
        <w:t>年4月，冻结金额累计3</w:t>
      </w:r>
      <w:r>
        <w:rPr>
          <w:rFonts w:ascii="仿宋_GB2312" w:hAnsi="Calibri" w:eastAsia="仿宋_GB2312" w:cs="Times New Roman"/>
          <w:sz w:val="32"/>
          <w:szCs w:val="32"/>
        </w:rPr>
        <w:t>,211.75</w:t>
      </w:r>
      <w:r>
        <w:rPr>
          <w:rFonts w:hint="eastAsia" w:ascii="仿宋_GB2312" w:hAnsi="Calibri" w:eastAsia="仿宋_GB2312" w:cs="Times New Roman"/>
          <w:sz w:val="32"/>
          <w:szCs w:val="32"/>
        </w:rPr>
        <w:t>万元，占公司2</w:t>
      </w:r>
      <w:r>
        <w:rPr>
          <w:rFonts w:ascii="仿宋_GB2312" w:hAnsi="Calibri" w:eastAsia="仿宋_GB2312" w:cs="Times New Roman"/>
          <w:sz w:val="32"/>
          <w:szCs w:val="32"/>
        </w:rPr>
        <w:t>022</w:t>
      </w:r>
      <w:r>
        <w:rPr>
          <w:rFonts w:hint="eastAsia" w:ascii="仿宋_GB2312" w:hAnsi="Calibri" w:eastAsia="仿宋_GB2312" w:cs="Times New Roman"/>
          <w:sz w:val="32"/>
          <w:szCs w:val="32"/>
        </w:rPr>
        <w:t>年经审计净资产的</w:t>
      </w:r>
      <w:r>
        <w:rPr>
          <w:rFonts w:ascii="仿宋_GB2312" w:hAnsi="Calibri" w:eastAsia="仿宋_GB2312" w:cs="Times New Roman"/>
          <w:sz w:val="32"/>
          <w:szCs w:val="32"/>
        </w:rPr>
        <w:t>13.79%</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eastAsia="zh-CN"/>
        </w:rPr>
        <w:t>公司</w:t>
      </w:r>
      <w:r>
        <w:rPr>
          <w:rFonts w:hint="eastAsia" w:ascii="仿宋_GB2312" w:hAnsi="Calibri" w:eastAsia="仿宋_GB2312" w:cs="Times New Roman"/>
          <w:sz w:val="32"/>
          <w:szCs w:val="32"/>
        </w:rPr>
        <w:t>未及时披露上述重大事项及进展情况，</w:t>
      </w:r>
      <w:r>
        <w:rPr>
          <w:rFonts w:hint="default" w:ascii="仿宋_GB2312" w:hAnsi="Calibri" w:eastAsia="仿宋_GB2312" w:cs="Times New Roman"/>
          <w:sz w:val="32"/>
          <w:szCs w:val="32"/>
          <w:lang w:val="en"/>
        </w:rPr>
        <w:t>以上情形不符合</w:t>
      </w:r>
      <w:r>
        <w:rPr>
          <w:rFonts w:hint="eastAsia" w:ascii="仿宋_GB2312" w:hAnsi="Calibri" w:eastAsia="仿宋_GB2312" w:cs="Times New Roman"/>
          <w:sz w:val="32"/>
          <w:szCs w:val="32"/>
        </w:rPr>
        <w:t>《上市公司信息披露管理办法》第三条第一款、第二十二条第一款、第二款第九项的规定。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36"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公司时任</w:t>
      </w:r>
      <w:r>
        <w:rPr>
          <w:rFonts w:hint="eastAsia" w:ascii="仿宋_GB2312" w:hAnsi="仿宋_GB2312" w:eastAsia="仿宋_GB2312" w:cs="仿宋_GB2312"/>
          <w:sz w:val="32"/>
          <w:szCs w:val="32"/>
          <w:highlight w:val="none"/>
          <w:lang w:val="en-US" w:eastAsia="zh-CN"/>
        </w:rPr>
        <w:t>董事长兼总经理万国江、时任董秘兼财务总监</w:t>
      </w:r>
      <w:r>
        <w:rPr>
          <w:rFonts w:hint="eastAsia" w:ascii="仿宋_GB2312" w:hAnsi="仿宋_GB2312" w:eastAsia="仿宋_GB2312" w:cs="仿宋_GB2312"/>
          <w:spacing w:val="-6"/>
          <w:sz w:val="32"/>
          <w:szCs w:val="32"/>
          <w:highlight w:val="none"/>
          <w:lang w:eastAsia="zh-CN"/>
        </w:rPr>
        <w:t>徐毓湘</w:t>
      </w:r>
      <w:r>
        <w:rPr>
          <w:rFonts w:hint="eastAsia" w:ascii="仿宋_GB2312" w:hAnsi="仿宋_GB2312" w:eastAsia="仿宋_GB2312" w:cs="仿宋_GB2312"/>
          <w:sz w:val="32"/>
          <w:szCs w:val="32"/>
          <w:highlight w:val="none"/>
          <w:lang w:val="en-US" w:eastAsia="zh-CN"/>
        </w:rPr>
        <w:t>未按照《上市公司信息披露管理办法》第四条、第五十一条第一款的规定履行勤勉尽责义务，对公司上述违规行为负有主要责任。</w:t>
      </w:r>
    </w:p>
    <w:p>
      <w:pPr>
        <w:keepNext w:val="0"/>
        <w:keepLines w:val="0"/>
        <w:pageBreakBefore w:val="0"/>
        <w:widowControl w:val="0"/>
        <w:suppressLineNumbers w:val="0"/>
        <w:kinsoku/>
        <w:wordWrap/>
        <w:overflowPunct w:val="0"/>
        <w:topLinePunct w:val="0"/>
        <w:autoSpaceDE/>
        <w:autoSpaceDN/>
        <w:bidi w:val="0"/>
        <w:adjustRightInd w:val="0"/>
        <w:snapToGrid w:val="0"/>
        <w:spacing w:beforeLines="0" w:afterLines="0" w:line="336"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根据《上市公司信息披露管理办法》第五十二条的规定，我局决定对科恒股份、万国江、</w:t>
      </w:r>
      <w:r>
        <w:rPr>
          <w:rFonts w:hint="eastAsia" w:ascii="仿宋_GB2312" w:hAnsi="仿宋_GB2312" w:eastAsia="仿宋_GB2312" w:cs="仿宋_GB2312"/>
          <w:spacing w:val="-6"/>
          <w:sz w:val="32"/>
          <w:szCs w:val="32"/>
          <w:lang w:eastAsia="zh-CN"/>
        </w:rPr>
        <w:t>徐毓湘</w:t>
      </w:r>
      <w:r>
        <w:rPr>
          <w:rFonts w:hint="eastAsia" w:ascii="仿宋_GB2312" w:hAnsi="仿宋_GB2312" w:eastAsia="仿宋_GB2312" w:cs="仿宋_GB2312"/>
          <w:sz w:val="32"/>
          <w:szCs w:val="32"/>
          <w:highlight w:val="none"/>
          <w:lang w:val="en-US" w:eastAsia="zh-CN"/>
        </w:rPr>
        <w:t>采取出具警示函的监管措施。你们应认真吸取教训，切实加强证券法律法规的学习，依法真实、准确、完整、及时、公平地履行信息披露义务。同时你公司应于收到本决定书30日内完成整改，向我局报送整改报告，并抄报深圳证券交易所。</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sz w:val="32"/>
          <w:szCs w:val="32"/>
          <w:highlight w:val="none"/>
          <w:lang w:val="en-US" w:eastAsia="zh-CN"/>
        </w:rPr>
        <w:t>如果对本行政监管措施不服，可在收到本决定书之日起60日内向中国证券监督管理委员会提出行政复议申请；也可以在收到本决定书之日起6个月内向有管辖权的人民法院提起诉讼。复议与诉讼期间，上述行政监管措施不停止执行。</w:t>
      </w: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0"/>
          <w:szCs w:val="20"/>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0"/>
          <w:szCs w:val="20"/>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0"/>
          <w:szCs w:val="20"/>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szCs w:val="24"/>
        </w:rPr>
      </w:pPr>
      <w:r>
        <w:rPr>
          <w:rFonts w:hint="eastAsia" w:ascii="仿宋_GB2312" w:hAnsi="Times New Roman" w:eastAsia="仿宋_GB2312" w:cs="Times New Roman"/>
          <w:color w:val="000000"/>
          <w:sz w:val="32"/>
          <w:szCs w:val="24"/>
        </w:rPr>
        <w:t>广东证监局</w:t>
      </w:r>
    </w:p>
    <w:p>
      <w:pPr>
        <w:keepNext w:val="0"/>
        <w:keepLines w:val="0"/>
        <w:pageBreakBefore w:val="0"/>
        <w:widowControl/>
        <w:numPr>
          <w:ilvl w:val="0"/>
          <w:numId w:val="0"/>
        </w:numPr>
        <w:pBdr>
          <w:top w:val="none" w:color="auto" w:sz="0" w:space="0"/>
          <w:bottom w:val="none" w:color="auto" w:sz="0" w:space="0"/>
        </w:pBdr>
        <w:kinsoku/>
        <w:wordWrap/>
        <w:overflowPunct w:val="0"/>
        <w:topLinePunct w:val="0"/>
        <w:autoSpaceDE/>
        <w:autoSpaceDN/>
        <w:bidi w:val="0"/>
        <w:adjustRightInd w:val="0"/>
        <w:snapToGrid w:val="0"/>
        <w:spacing w:beforeLines="0" w:afterLines="0" w:line="360" w:lineRule="auto"/>
        <w:ind w:firstLine="0"/>
        <w:jc w:val="center"/>
        <w:textAlignment w:val="auto"/>
        <w:outlineLvl w:val="9"/>
        <w:rPr>
          <w:rFonts w:hint="eastAsia" w:ascii="仿宋_GB2312" w:hAnsi="Times New Roman" w:eastAsia="仿宋_GB2312" w:cs="Times New Roman"/>
          <w:spacing w:val="8"/>
          <w:sz w:val="2"/>
          <w:szCs w:val="2"/>
        </w:rPr>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default" w:ascii="仿宋_GB2312" w:hAnsi="Calibri" w:eastAsia="仿宋_GB2312" w:cs="Times New Roman"/>
          <w:color w:val="000000"/>
          <w:spacing w:val="10"/>
          <w:sz w:val="32"/>
          <w:szCs w:val="32"/>
          <w:lang w:val="en-US" w:eastAsia="zh-CN"/>
        </w:rPr>
        <w:t>12</w:t>
      </w:r>
      <w:r>
        <w:rPr>
          <w:rFonts w:hint="eastAsia" w:ascii="仿宋_GB2312" w:hAnsi="Times New Roman" w:eastAsia="仿宋_GB2312" w:cs="Times New Roman"/>
          <w:color w:val="000000"/>
          <w:spacing w:val="10"/>
          <w:sz w:val="32"/>
          <w:szCs w:val="32"/>
        </w:rPr>
        <w:t>月</w:t>
      </w:r>
      <w:r>
        <w:rPr>
          <w:rFonts w:hint="default" w:ascii="仿宋_GB2312" w:hAnsi="Times New Roman" w:eastAsia="仿宋_GB2312" w:cs="Times New Roman"/>
          <w:color w:val="000000"/>
          <w:spacing w:val="10"/>
          <w:sz w:val="32"/>
          <w:szCs w:val="32"/>
          <w:lang w:val="en-US"/>
        </w:rPr>
        <w:t>25</w:t>
      </w:r>
      <w:r>
        <w:rPr>
          <w:rFonts w:hint="eastAsia" w:ascii="仿宋_GB2312" w:hAnsi="Times New Roman" w:eastAsia="仿宋_GB2312" w:cs="Times New Roman"/>
          <w:color w:val="000000"/>
          <w:spacing w:val="10"/>
          <w:sz w:val="32"/>
          <w:szCs w:val="32"/>
        </w:rPr>
        <w:t>日</w:t>
      </w: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36"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36"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36"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36"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36"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36"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36"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36"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36"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36"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36"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36"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36"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36" w:lineRule="auto"/>
        <w:ind w:right="28"/>
        <w:jc w:val="left"/>
        <w:textAlignment w:val="auto"/>
        <w:rPr>
          <w:rFonts w:hint="eastAsia" w:ascii="黑体" w:hAnsi="Calibri" w:eastAsia="黑体" w:cs="Times New Roman"/>
          <w:spacing w:val="8"/>
          <w:sz w:val="32"/>
          <w:szCs w:val="24"/>
        </w:rPr>
      </w:pPr>
    </w:p>
    <w:p>
      <w:pPr>
        <w:snapToGrid w:val="0"/>
        <w:spacing w:line="240" w:lineRule="auto"/>
        <w:ind w:right="28"/>
        <w:jc w:val="left"/>
        <w:rPr>
          <w:rFonts w:hint="eastAsia" w:ascii="黑体" w:hAnsi="Calibri" w:eastAsia="黑体" w:cs="Times New Roman"/>
          <w:spacing w:val="8"/>
          <w:sz w:val="32"/>
          <w:szCs w:val="32"/>
        </w:rPr>
      </w:pP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line="240" w:lineRule="auto"/>
        <w:ind w:firstLine="296" w:firstLineChars="100"/>
        <w:textAlignment w:val="auto"/>
        <w:rPr>
          <w:rFonts w:hint="eastAsia" w:ascii="仿宋_GB2312" w:hAnsi="Calibri" w:eastAsia="仿宋_GB2312" w:cs="Times New Roman"/>
          <w:spacing w:val="8"/>
          <w:sz w:val="28"/>
          <w:szCs w:val="24"/>
          <w:lang w:val="en-US" w:eastAsia="zh-CN"/>
        </w:rPr>
      </w:pPr>
      <w:r>
        <w:rPr>
          <w:rFonts w:hint="eastAsia" w:ascii="仿宋_GB2312" w:hAnsi="Calibri" w:eastAsia="仿宋_GB2312" w:cs="Times New Roman"/>
          <w:spacing w:val="8"/>
          <w:sz w:val="28"/>
          <w:szCs w:val="24"/>
        </w:rPr>
        <w:t>抄送：证监会上市司</w:t>
      </w:r>
      <w:r>
        <w:rPr>
          <w:rFonts w:hint="eastAsia" w:ascii="仿宋_GB2312" w:hAnsi="Calibri" w:eastAsia="仿宋_GB2312" w:cs="Times New Roman"/>
          <w:spacing w:val="8"/>
          <w:sz w:val="28"/>
          <w:szCs w:val="24"/>
          <w:lang w:eastAsia="zh-CN"/>
        </w:rPr>
        <w:t>，</w:t>
      </w:r>
      <w:r>
        <w:rPr>
          <w:rFonts w:hint="eastAsia" w:ascii="仿宋_GB2312" w:hAnsi="Calibri" w:eastAsia="仿宋_GB2312" w:cs="Times New Roman"/>
          <w:spacing w:val="8"/>
          <w:sz w:val="28"/>
          <w:szCs w:val="24"/>
        </w:rPr>
        <w:t>法治司；深圳证券交易所</w:t>
      </w:r>
      <w:r>
        <w:rPr>
          <w:rFonts w:hint="eastAsia" w:ascii="仿宋_GB2312" w:hAnsi="Calibri" w:eastAsia="仿宋_GB2312" w:cs="Times New Roman"/>
          <w:spacing w:val="8"/>
          <w:sz w:val="28"/>
          <w:szCs w:val="24"/>
          <w:lang w:eastAsia="zh-CN"/>
        </w:rPr>
        <w:t>。</w:t>
      </w:r>
    </w:p>
    <w:p>
      <w:pPr>
        <w:pBdr>
          <w:top w:val="single" w:color="auto" w:sz="4" w:space="6"/>
        </w:pBdr>
        <w:adjustRightInd w:val="0"/>
        <w:snapToGrid w:val="0"/>
        <w:spacing w:after="109" w:afterLines="35" w:line="240" w:lineRule="auto"/>
        <w:ind w:firstLine="318"/>
        <w:jc w:val="left"/>
        <w:rPr>
          <w:rFonts w:hint="eastAsia" w:ascii="仿宋_GB2312" w:hAnsi="Calibri" w:eastAsia="仿宋_GB2312" w:cs="Times New Roman"/>
          <w:spacing w:val="8"/>
          <w:sz w:val="28"/>
          <w:szCs w:val="24"/>
        </w:rPr>
      </w:pPr>
      <w:r>
        <w:rPr>
          <w:rFonts w:hint="eastAsia" w:ascii="仿宋_GB2312" w:hAnsi="Calibri" w:eastAsia="仿宋_GB2312" w:cs="Times New Roman"/>
          <w:spacing w:val="8"/>
          <w:sz w:val="28"/>
          <w:szCs w:val="24"/>
        </w:rPr>
        <w:t xml:space="preserve">广东证监局办公室              </w:t>
      </w:r>
      <w:r>
        <w:rPr>
          <w:rFonts w:hint="default" w:ascii="仿宋_GB2312" w:hAnsi="Calibri" w:eastAsia="仿宋_GB2312" w:cs="Times New Roman"/>
          <w:spacing w:val="8"/>
          <w:sz w:val="28"/>
          <w:szCs w:val="24"/>
          <w:lang w:val="en-US"/>
        </w:rPr>
        <w:t xml:space="preserve">   </w:t>
      </w:r>
      <w:r>
        <w:rPr>
          <w:rFonts w:hint="eastAsia" w:ascii="仿宋_GB2312" w:hAnsi="Calibri" w:eastAsia="仿宋_GB2312" w:cs="Times New Roman"/>
          <w:spacing w:val="8"/>
          <w:sz w:val="28"/>
          <w:szCs w:val="24"/>
        </w:rPr>
        <w:t xml:space="preserve"> </w:t>
      </w:r>
      <w:r>
        <w:rPr>
          <w:rFonts w:hint="default" w:ascii="仿宋_GB2312" w:hAnsi="Calibri" w:eastAsia="仿宋_GB2312" w:cs="Times New Roman"/>
          <w:spacing w:val="8"/>
          <w:sz w:val="28"/>
          <w:szCs w:val="24"/>
          <w:lang w:val="en" w:eastAsia="zh-CN"/>
        </w:rPr>
        <w:t>202</w:t>
      </w:r>
      <w:r>
        <w:rPr>
          <w:rFonts w:hint="eastAsia" w:ascii="仿宋_GB2312" w:hAnsi="Calibri" w:eastAsia="仿宋_GB2312" w:cs="Times New Roman"/>
          <w:spacing w:val="8"/>
          <w:sz w:val="28"/>
          <w:szCs w:val="24"/>
          <w:lang w:val="en-US" w:eastAsia="zh-CN"/>
        </w:rPr>
        <w:t>5</w:t>
      </w:r>
      <w:r>
        <w:rPr>
          <w:rFonts w:hint="eastAsia" w:ascii="仿宋_GB2312" w:hAnsi="Calibri" w:eastAsia="仿宋_GB2312" w:cs="Times New Roman"/>
          <w:spacing w:val="8"/>
          <w:sz w:val="28"/>
          <w:szCs w:val="24"/>
        </w:rPr>
        <w:t>年</w:t>
      </w:r>
      <w:r>
        <w:rPr>
          <w:rFonts w:hint="eastAsia" w:ascii="仿宋_GB2312" w:hAnsi="Calibri" w:eastAsia="仿宋_GB2312" w:cs="Times New Roman"/>
          <w:spacing w:val="8"/>
          <w:sz w:val="28"/>
          <w:szCs w:val="24"/>
          <w:lang w:val="en-US" w:eastAsia="zh-CN"/>
        </w:rPr>
        <w:t>12</w:t>
      </w:r>
      <w:r>
        <w:rPr>
          <w:rFonts w:hint="eastAsia" w:ascii="仿宋_GB2312" w:hAnsi="Calibri" w:eastAsia="仿宋_GB2312" w:cs="Times New Roman"/>
          <w:spacing w:val="8"/>
          <w:sz w:val="28"/>
          <w:szCs w:val="24"/>
        </w:rPr>
        <w:t>月</w:t>
      </w:r>
      <w:r>
        <w:rPr>
          <w:rFonts w:hint="default" w:ascii="仿宋_GB2312" w:hAnsi="Calibri" w:eastAsia="仿宋_GB2312" w:cs="Times New Roman"/>
          <w:spacing w:val="8"/>
          <w:sz w:val="28"/>
          <w:szCs w:val="24"/>
          <w:lang w:val="en-US" w:eastAsia="zh-CN"/>
        </w:rPr>
        <w:t>26</w:t>
      </w:r>
      <w:r>
        <w:rPr>
          <w:rFonts w:hint="eastAsia" w:ascii="仿宋_GB2312" w:hAnsi="Calibri" w:eastAsia="仿宋_GB2312" w:cs="Times New Roman"/>
          <w:spacing w:val="8"/>
          <w:sz w:val="28"/>
          <w:szCs w:val="24"/>
        </w:rPr>
        <w:t>日印发</w:t>
      </w:r>
    </w:p>
    <w:bookmarkEnd w:id="1"/>
    <w:p>
      <w:pPr>
        <w:pBdr>
          <w:top w:val="single" w:color="auto" w:sz="8" w:space="7"/>
        </w:pBdr>
        <w:overflowPunct w:val="0"/>
        <w:adjustRightInd w:val="0"/>
        <w:snapToGrid w:val="0"/>
        <w:spacing w:beforeLines="0" w:after="0" w:afterLines="0" w:line="240" w:lineRule="auto"/>
        <w:ind w:firstLine="0"/>
        <w:jc w:val="left"/>
        <w:rPr>
          <w:rFonts w:hint="eastAsia" w:ascii="仿宋_GB2312" w:hAnsi="Calibri" w:eastAsia="仿宋_GB2312" w:cs="Times New Roman"/>
          <w:spacing w:val="8"/>
          <w:sz w:val="2"/>
          <w:szCs w:val="2"/>
        </w:rPr>
      </w:pPr>
    </w:p>
    <w:sectPr>
      <w:footerReference r:id="rId3" w:type="default"/>
      <w:pgSz w:w="11906" w:h="16838"/>
      <w:pgMar w:top="2097" w:right="1474" w:bottom="1984" w:left="1587" w:header="851" w:footer="1587"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Fonts w:hint="eastAsia" w:ascii="宋体" w:hAnsi="宋体" w:eastAsia="宋体" w:cs="宋体"/>
        <w:sz w:val="28"/>
        <w:lang w:val="en-US"/>
      </w:rPr>
    </w:pPr>
    <w:r>
      <w:rPr>
        <w:rFonts w:hint="eastAsia" w:ascii="宋体" w:hAnsi="宋体" w:eastAsia="宋体" w:cs="宋体"/>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C75088B"/>
    <w:rsid w:val="2F5D6B43"/>
    <w:rsid w:val="3D3927C1"/>
    <w:rsid w:val="3DD7E0FA"/>
    <w:rsid w:val="5FB7A7BD"/>
    <w:rsid w:val="5FF502EA"/>
    <w:rsid w:val="75F67C54"/>
    <w:rsid w:val="7BFD01DF"/>
    <w:rsid w:val="7EF3D077"/>
    <w:rsid w:val="7FA69AB0"/>
    <w:rsid w:val="BC75088B"/>
    <w:rsid w:val="BFBF1B4A"/>
    <w:rsid w:val="DFB54AC7"/>
    <w:rsid w:val="EFB9E35E"/>
    <w:rsid w:val="FDB92DBE"/>
    <w:rsid w:val="FEAF1F27"/>
    <w:rsid w:val="FFEF1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ormalIndent"/>
    <w:basedOn w:val="1"/>
    <w:next w:val="1"/>
    <w:qFormat/>
    <w:uiPriority w:val="0"/>
    <w:pPr>
      <w:spacing w:line="240" w:lineRule="auto"/>
      <w:ind w:firstLine="420"/>
      <w:jc w:val="both"/>
      <w:textAlignment w:val="baseline"/>
    </w:pPr>
    <w:rPr>
      <w:rFonts w:ascii="宋体" w:hAnsi="Calibri"/>
      <w:kern w:val="0"/>
      <w:sz w:val="21"/>
      <w:szCs w:val="24"/>
      <w:lang w:val="en-US" w:eastAsia="zh-CN" w:bidi="ar-SA"/>
    </w:rPr>
  </w:style>
  <w:style w:type="paragraph" w:customStyle="1" w:styleId="7">
    <w:name w:val="p0"/>
    <w:basedOn w:val="1"/>
    <w:qFormat/>
    <w:uiPriority w:val="0"/>
    <w:pPr>
      <w:widowControl/>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2025-12-01T23:31:00Z</dcterms:created>
  <dc:creator>林钰清：主办人拟稿</dc:creator>
  <cp:lastModifiedBy>于晓雷</cp:lastModifiedBy>
  <dcterms:modified xsi:type="dcterms:W3CDTF">2026-01-08T14:52:56Z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454660DD350A04556DF62C69F8CEFDFF</vt:lpwstr>
  </property>
</Properties>
</file>