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jc w:val="center"/>
        <w:rPr>
          <w:rFonts w:hint="eastAsia" w:ascii="方正小标宋简体" w:hAnsi="方正小标宋简体" w:eastAsia="方正小标宋简体" w:cs="Times New Roman"/>
          <w:b/>
          <w:color w:val="FF0000"/>
          <w:w w:val="95"/>
          <w:kern w:val="0"/>
          <w:sz w:val="44"/>
          <w:szCs w:val="116"/>
        </w:rPr>
      </w:pPr>
      <w:r>
        <w:rPr>
          <w:rFonts w:hint="eastAsia" w:ascii="方正小标宋简体" w:hAnsi="方正小标宋简体" w:eastAsia="方正小标宋简体" w:cs="黑体"/>
          <w:b/>
          <w:color w:val="FF0000"/>
          <w:w w:val="95"/>
          <w:sz w:val="44"/>
          <w:szCs w:val="72"/>
        </w:rPr>
        <w:t>中国证券监督管理委员会广东监管局</w:t>
      </w:r>
    </w:p>
    <w:p>
      <w:pPr>
        <w:jc w:val="center"/>
        <w:rPr>
          <w:rFonts w:hint="eastAsia" w:ascii="方正小标宋简体" w:hAnsi="方正小标宋简体" w:eastAsia="方正小标宋简体" w:cs="Times New Roman"/>
          <w:snapToGrid w:val="0"/>
          <w:spacing w:val="85"/>
          <w:w w:val="90"/>
          <w:sz w:val="72"/>
          <w:szCs w:val="72"/>
        </w:rPr>
      </w:pPr>
      <w:r>
        <w:rPr>
          <w:rFonts w:hint="eastAsia" w:ascii="方正小标宋简体" w:hAnsi="方正小标宋简体" w:eastAsia="方正小标宋简体" w:cs="Times New Roman"/>
          <w:b/>
          <w:bCs/>
          <w:snapToGrid w:val="0"/>
          <w:color w:val="FF0000"/>
          <w:spacing w:val="85"/>
          <w:w w:val="90"/>
          <w:sz w:val="72"/>
          <w:szCs w:val="72"/>
        </w:rPr>
        <w:t>行政监管措施决定书</w:t>
      </w:r>
    </w:p>
    <w:p>
      <w:pPr>
        <w:snapToGrid w:val="0"/>
        <w:jc w:val="center"/>
        <w:rPr>
          <w:rFonts w:hint="eastAsia" w:ascii="仿宋_GB2312" w:hAnsi="仿宋_GB2312" w:eastAsia="仿宋_GB2312" w:cs="宋体"/>
          <w:sz w:val="28"/>
          <w:szCs w:val="28"/>
        </w:rPr>
      </w:pPr>
    </w:p>
    <w:p>
      <w:pPr>
        <w:snapToGrid w:val="0"/>
        <w:spacing w:before="156" w:beforeLines="50" w:line="300" w:lineRule="auto"/>
        <w:jc w:val="center"/>
        <w:rPr>
          <w:rFonts w:ascii="黑体" w:hAnsi="Times New Roman" w:eastAsia="黑体" w:cs="Times New Roman"/>
          <w:color w:val="000000"/>
          <w:spacing w:val="12"/>
          <w:sz w:val="32"/>
          <w:szCs w:val="20"/>
        </w:rPr>
      </w:pPr>
      <w:bookmarkStart w:id="0" w:name="WH"/>
      <w:bookmarkEnd w:id="0"/>
      <w:r>
        <w:rPr>
          <w:rFonts w:hint="eastAsia" w:ascii="仿宋_GB2312" w:hAnsi="Times New Roman" w:eastAsia="仿宋_GB2312" w:cs="Times New Roman"/>
          <w:color w:val="000000"/>
          <w:spacing w:val="12"/>
          <w:sz w:val="28"/>
          <w:szCs w:val="20"/>
        </w:rPr>
        <w:t>〔20</w:t>
      </w:r>
      <w:r>
        <w:rPr>
          <w:rFonts w:hint="default" w:ascii="仿宋_GB2312" w:hAnsi="Times New Roman" w:eastAsia="仿宋_GB2312" w:cs="Times New Roman"/>
          <w:color w:val="000000"/>
          <w:spacing w:val="12"/>
          <w:sz w:val="28"/>
          <w:szCs w:val="20"/>
          <w:lang w:val="en-US"/>
        </w:rPr>
        <w:t>26</w:t>
      </w:r>
      <w:r>
        <w:rPr>
          <w:rFonts w:hint="eastAsia" w:ascii="仿宋_GB2312" w:hAnsi="Times New Roman" w:eastAsia="仿宋_GB2312" w:cs="Times New Roman"/>
          <w:color w:val="000000"/>
          <w:spacing w:val="12"/>
          <w:sz w:val="28"/>
          <w:szCs w:val="20"/>
        </w:rPr>
        <w:t>〕</w:t>
      </w:r>
      <w:r>
        <w:rPr>
          <w:rFonts w:hint="default" w:ascii="仿宋_GB2312" w:hAnsi="Times New Roman" w:eastAsia="仿宋_GB2312" w:cs="Times New Roman"/>
          <w:color w:val="000000"/>
          <w:spacing w:val="12"/>
          <w:sz w:val="28"/>
          <w:szCs w:val="20"/>
          <w:lang w:val="en-US"/>
        </w:rPr>
        <w:t>2</w:t>
      </w:r>
      <w:r>
        <w:rPr>
          <w:rFonts w:hint="default" w:ascii="仿宋_GB2312" w:hAnsi="Times New Roman" w:eastAsia="仿宋_GB2312" w:cs="Times New Roman"/>
          <w:color w:val="000000"/>
          <w:spacing w:val="12"/>
          <w:sz w:val="28"/>
          <w:szCs w:val="20"/>
          <w:lang w:val="en-US" w:eastAsia="zh-CN"/>
        </w:rPr>
        <w:t>9</w:t>
      </w:r>
      <w:r>
        <w:rPr>
          <w:rFonts w:hint="eastAsia" w:ascii="仿宋_GB2312" w:hAnsi="Times New Roman" w:eastAsia="仿宋_GB2312" w:cs="Times New Roman"/>
          <w:color w:val="000000"/>
          <w:spacing w:val="12"/>
          <w:sz w:val="28"/>
          <w:szCs w:val="20"/>
        </w:rPr>
        <w:t>号</w:t>
      </w:r>
    </w:p>
    <w:p>
      <w:pPr>
        <w:snapToGrid w:val="0"/>
        <w:jc w:val="center"/>
        <w:rPr>
          <w:rFonts w:hint="eastAsia" w:ascii="仿宋_GB2312" w:hAnsi="仿宋_GB2312" w:eastAsia="仿宋_GB2312" w:cs="Times New Roman"/>
          <w:sz w:val="28"/>
          <w:szCs w:val="28"/>
        </w:rPr>
      </w:pPr>
      <w:r>
        <w:rPr>
          <w:rFonts w:ascii="Times New Roman" w:hAnsi="Times New Roman" w:eastAsia="宋体" w:cs="Times New Roman"/>
        </w:rPr>
        <mc:AlternateContent>
          <mc:Choice Requires="wps">
            <w:drawing>
              <wp:anchor distT="0" distB="0" distL="114300" distR="114300" simplePos="0" relativeHeight="251659264" behindDoc="0" locked="0" layoutInCell="1" allowOverlap="1">
                <wp:simplePos x="0" y="0"/>
                <wp:positionH relativeFrom="column">
                  <wp:posOffset>80645</wp:posOffset>
                </wp:positionH>
                <wp:positionV relativeFrom="paragraph">
                  <wp:posOffset>128905</wp:posOffset>
                </wp:positionV>
                <wp:extent cx="555180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551805" cy="635"/>
                        </a:xfrm>
                        <a:prstGeom prst="line">
                          <a:avLst/>
                        </a:prstGeom>
                        <a:ln w="127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35pt;margin-top:10.15pt;height:0.05pt;width:437.15pt;z-index:251659264;mso-width-relative:page;mso-height-relative:page;" filled="f" stroked="t" coordsize="21600,21600" o:gfxdata="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">
                <v:fill on="f" focussize="0,0"/>
                <v:stroke weight="1pt" color="#FF0000" joinstyle="round"/>
                <v:imagedata o:title=""/>
                <o:lock v:ext="edit" aspectratio="f"/>
              </v:line>
            </w:pict>
          </mc:Fallback>
        </mc:AlternateContent>
      </w:r>
    </w:p>
    <w:p>
      <w:pPr>
        <w:jc w:val="center"/>
        <w:rPr>
          <w:rFonts w:hint="eastAsia" w:ascii="Times New Roman" w:hAnsi="Times New Roman" w:eastAsia="宋体" w:cs="Times New Roman"/>
          <w:sz w:val="28"/>
          <w:szCs w:val="28"/>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pacing w:val="0"/>
          <w:kern w:val="0"/>
          <w:sz w:val="44"/>
          <w:szCs w:val="44"/>
          <w:lang w:val="en" w:eastAsia="zh-CN" w:bidi="ar-SA"/>
        </w:rPr>
      </w:pPr>
      <w:bookmarkStart w:id="1" w:name="quanwen"/>
      <w:r>
        <w:rPr>
          <w:rFonts w:hint="eastAsia" w:ascii="方正小标宋简体" w:hAnsi="方正小标宋简体" w:eastAsia="方正小标宋简体" w:cs="方正小标宋简体"/>
          <w:spacing w:val="0"/>
          <w:kern w:val="0"/>
          <w:sz w:val="44"/>
          <w:szCs w:val="44"/>
          <w:lang w:val="en-US" w:eastAsia="zh-CN" w:bidi="ar-SA"/>
        </w:rPr>
        <w:t>关于对</w:t>
      </w:r>
      <w:r>
        <w:rPr>
          <w:rFonts w:hint="eastAsia" w:ascii="方正小标宋简体" w:hAnsi="方正小标宋简体" w:eastAsia="方正小标宋简体" w:cs="方正小标宋简体"/>
          <w:spacing w:val="0"/>
          <w:kern w:val="0"/>
          <w:sz w:val="44"/>
          <w:szCs w:val="44"/>
          <w:lang w:val="en" w:eastAsia="zh-CN" w:bidi="ar-SA"/>
        </w:rPr>
        <w:t>泽元私募证券投资基金管理（广东）</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pacing w:val="0"/>
          <w:kern w:val="0"/>
          <w:sz w:val="44"/>
          <w:szCs w:val="44"/>
          <w:lang w:val="en-US" w:eastAsia="zh-CN" w:bidi="ar-SA"/>
        </w:rPr>
      </w:pPr>
      <w:r>
        <w:rPr>
          <w:rFonts w:hint="eastAsia" w:ascii="方正小标宋简体" w:hAnsi="方正小标宋简体" w:eastAsia="方正小标宋简体" w:cs="方正小标宋简体"/>
          <w:spacing w:val="0"/>
          <w:kern w:val="0"/>
          <w:sz w:val="44"/>
          <w:szCs w:val="44"/>
          <w:lang w:val="en" w:eastAsia="zh-CN" w:bidi="ar-SA"/>
        </w:rPr>
        <w:t>有限公司</w:t>
      </w:r>
      <w:r>
        <w:rPr>
          <w:rFonts w:hint="eastAsia" w:ascii="方正小标宋简体" w:hAnsi="方正小标宋简体" w:eastAsia="方正小标宋简体" w:cs="方正小标宋简体"/>
          <w:spacing w:val="0"/>
          <w:kern w:val="0"/>
          <w:sz w:val="44"/>
          <w:szCs w:val="44"/>
          <w:lang w:val="en-US" w:eastAsia="zh-CN" w:bidi="ar-SA"/>
        </w:rPr>
        <w:t>采取责令改正措施的决定</w:t>
      </w:r>
    </w:p>
    <w:p>
      <w:pPr>
        <w:snapToGrid w:val="0"/>
        <w:spacing w:beforeLines="0" w:afterLines="0"/>
        <w:rPr>
          <w:rFonts w:hint="eastAsia" w:ascii="方正小标宋简体" w:hAnsi="方正小标宋简体" w:eastAsia="方正小标宋简体" w:cs="方正小标宋简体"/>
          <w:sz w:val="24"/>
          <w:szCs w:val="24"/>
          <w:lang w:val="en-US" w:eastAsia="zh-CN"/>
        </w:rPr>
      </w:pPr>
    </w:p>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312" w:lineRule="auto"/>
        <w:ind w:right="0" w:rightChars="0"/>
        <w:jc w:val="both"/>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 w:eastAsia="zh-CN"/>
        </w:rPr>
        <w:t>泽元私募证券投资基金管理（广东）有限公司：</w:t>
      </w:r>
    </w:p>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312" w:lineRule="auto"/>
        <w:ind w:left="0" w:leftChars="0" w:right="0" w:rightChars="0" w:firstLine="640" w:firstLineChars="200"/>
        <w:jc w:val="both"/>
        <w:textAlignment w:val="auto"/>
        <w:outlineLvl w:val="9"/>
        <w:rPr>
          <w:rFonts w:hint="eastAsia" w:ascii="仿宋_GB2312" w:hAnsi="宋体" w:eastAsia="仿宋_GB2312" w:cs="Times New Roman"/>
          <w:color w:val="auto"/>
          <w:spacing w:val="-6"/>
          <w:sz w:val="32"/>
          <w:szCs w:val="32"/>
          <w:lang w:val="en-US" w:eastAsia="zh-CN"/>
        </w:rPr>
      </w:pPr>
      <w:r>
        <w:rPr>
          <w:rFonts w:hint="eastAsia" w:ascii="仿宋_GB2312" w:hAnsi="仿宋_GB2312" w:eastAsia="仿宋_GB2312" w:cs="仿宋_GB2312"/>
          <w:sz w:val="32"/>
          <w:lang w:val="en-US" w:eastAsia="zh-CN"/>
        </w:rPr>
        <w:t>经查，你公司</w:t>
      </w:r>
      <w:r>
        <w:rPr>
          <w:rFonts w:hint="eastAsia" w:ascii="仿宋_GB2312" w:hAnsi="宋体" w:eastAsia="仿宋_GB2312" w:cs="Times New Roman"/>
          <w:color w:val="auto"/>
          <w:sz w:val="32"/>
          <w:szCs w:val="32"/>
          <w:lang w:val="en-US" w:eastAsia="zh-CN"/>
        </w:rPr>
        <w:t>存在以</w:t>
      </w:r>
      <w:r>
        <w:rPr>
          <w:rFonts w:hint="eastAsia" w:ascii="仿宋_GB2312" w:hAnsi="宋体" w:eastAsia="仿宋_GB2312" w:cs="Times New Roman"/>
          <w:color w:val="auto"/>
          <w:spacing w:val="-6"/>
          <w:sz w:val="32"/>
          <w:szCs w:val="32"/>
          <w:lang w:val="en-US" w:eastAsia="zh-CN"/>
        </w:rPr>
        <w:t>下违规情形：</w:t>
      </w:r>
    </w:p>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312" w:lineRule="auto"/>
        <w:ind w:left="0" w:leftChars="0" w:right="0" w:rightChars="0" w:firstLine="616" w:firstLineChars="200"/>
        <w:jc w:val="both"/>
        <w:textAlignment w:val="auto"/>
        <w:outlineLvl w:val="9"/>
        <w:rPr>
          <w:rFonts w:hint="eastAsia" w:ascii="仿宋_GB2312" w:hAnsi="宋体" w:eastAsia="仿宋_GB2312" w:cs="Times New Roman"/>
          <w:color w:val="auto"/>
          <w:spacing w:val="-6"/>
          <w:sz w:val="32"/>
          <w:szCs w:val="32"/>
          <w:highlight w:val="none"/>
          <w:lang w:eastAsia="zh-CN"/>
        </w:rPr>
      </w:pPr>
      <w:r>
        <w:rPr>
          <w:rFonts w:hint="eastAsia" w:ascii="仿宋_GB2312" w:hAnsi="宋体" w:eastAsia="仿宋_GB2312" w:cs="Times New Roman"/>
          <w:color w:val="auto"/>
          <w:spacing w:val="-6"/>
          <w:sz w:val="32"/>
          <w:szCs w:val="32"/>
          <w:lang w:val="en-US" w:eastAsia="zh-CN"/>
        </w:rPr>
        <w:t>一是</w:t>
      </w:r>
      <w:r>
        <w:rPr>
          <w:rFonts w:hint="eastAsia" w:ascii="仿宋_GB2312" w:hAnsi="宋体" w:eastAsia="仿宋_GB2312" w:cs="Times New Roman"/>
          <w:b w:val="0"/>
          <w:bCs w:val="0"/>
          <w:color w:val="auto"/>
          <w:spacing w:val="-6"/>
          <w:sz w:val="32"/>
          <w:szCs w:val="32"/>
          <w:highlight w:val="none"/>
          <w:lang w:val="en-US" w:eastAsia="zh-CN"/>
        </w:rPr>
        <w:t>安排未取得基金从业资格的人员从事私募基金募集活动，安排非公司员工进行投资交易操作，</w:t>
      </w:r>
      <w:r>
        <w:rPr>
          <w:rFonts w:hint="eastAsia" w:ascii="仿宋_GB2312" w:hAnsi="宋体" w:eastAsia="仿宋_GB2312" w:cs="Times New Roman"/>
          <w:color w:val="auto"/>
          <w:spacing w:val="-6"/>
          <w:sz w:val="32"/>
          <w:szCs w:val="32"/>
          <w:highlight w:val="none"/>
        </w:rPr>
        <w:t>违反了《私募投资基金监督管理暂行办法》（证监会令第105号，以下简称《私募办法》）</w:t>
      </w:r>
      <w:r>
        <w:rPr>
          <w:rFonts w:hint="eastAsia" w:ascii="仿宋_GB2312" w:hAnsi="宋体" w:eastAsia="仿宋_GB2312" w:cs="Times New Roman"/>
          <w:color w:val="auto"/>
          <w:spacing w:val="-6"/>
          <w:sz w:val="32"/>
          <w:szCs w:val="32"/>
          <w:highlight w:val="none"/>
          <w:lang w:eastAsia="zh-CN"/>
        </w:rPr>
        <w:t>第四条第一款的规定。</w:t>
      </w:r>
    </w:p>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312" w:lineRule="auto"/>
        <w:ind w:left="0" w:leftChars="0" w:right="0" w:rightChars="0" w:firstLine="616" w:firstLineChars="200"/>
        <w:jc w:val="both"/>
        <w:textAlignment w:val="auto"/>
        <w:outlineLvl w:val="9"/>
        <w:rPr>
          <w:rFonts w:hint="eastAsia" w:ascii="仿宋_GB2312" w:hAnsi="宋体" w:eastAsia="仿宋_GB2312" w:cs="Times New Roman"/>
          <w:color w:val="auto"/>
          <w:spacing w:val="-6"/>
          <w:sz w:val="32"/>
          <w:szCs w:val="32"/>
          <w:highlight w:val="none"/>
          <w:lang w:eastAsia="zh-CN"/>
        </w:rPr>
      </w:pPr>
      <w:r>
        <w:rPr>
          <w:rFonts w:hint="eastAsia" w:ascii="仿宋_GB2312" w:hAnsi="宋体" w:eastAsia="仿宋_GB2312" w:cs="Times New Roman"/>
          <w:b w:val="0"/>
          <w:bCs w:val="0"/>
          <w:color w:val="auto"/>
          <w:spacing w:val="-6"/>
          <w:sz w:val="32"/>
          <w:szCs w:val="32"/>
          <w:highlight w:val="none"/>
          <w:lang w:val="en-US" w:eastAsia="zh-CN"/>
        </w:rPr>
        <w:t>二是</w:t>
      </w:r>
      <w:r>
        <w:rPr>
          <w:rFonts w:hint="eastAsia" w:ascii="仿宋_GB2312" w:hAnsi="宋体" w:eastAsia="仿宋_GB2312" w:cs="Times New Roman"/>
          <w:color w:val="auto"/>
          <w:spacing w:val="-6"/>
          <w:sz w:val="32"/>
          <w:szCs w:val="32"/>
          <w:highlight w:val="none"/>
        </w:rPr>
        <w:t>从事与私募基金管理无关的</w:t>
      </w:r>
      <w:r>
        <w:rPr>
          <w:rFonts w:hint="eastAsia" w:ascii="仿宋_GB2312" w:hAnsi="宋体" w:eastAsia="仿宋_GB2312" w:cs="Times New Roman"/>
          <w:color w:val="auto"/>
          <w:spacing w:val="-6"/>
          <w:sz w:val="32"/>
          <w:szCs w:val="32"/>
          <w:highlight w:val="none"/>
          <w:lang w:eastAsia="zh-CN"/>
        </w:rPr>
        <w:t>咨询服务</w:t>
      </w:r>
      <w:r>
        <w:rPr>
          <w:rFonts w:hint="eastAsia" w:ascii="仿宋_GB2312" w:hAnsi="宋体" w:eastAsia="仿宋_GB2312" w:cs="Times New Roman"/>
          <w:b w:val="0"/>
          <w:bCs w:val="0"/>
          <w:color w:val="auto"/>
          <w:spacing w:val="-6"/>
          <w:sz w:val="32"/>
          <w:szCs w:val="32"/>
          <w:highlight w:val="none"/>
          <w:lang w:val="en-US" w:eastAsia="zh-CN"/>
        </w:rPr>
        <w:t>，违反了</w:t>
      </w:r>
      <w:r>
        <w:rPr>
          <w:rFonts w:hint="eastAsia" w:ascii="仿宋_GB2312" w:hAnsi="宋体" w:eastAsia="仿宋_GB2312" w:cs="Times New Roman"/>
          <w:color w:val="auto"/>
          <w:spacing w:val="-6"/>
          <w:sz w:val="32"/>
          <w:szCs w:val="32"/>
          <w:highlight w:val="none"/>
        </w:rPr>
        <w:t>《私募办法》第二十三条第九项</w:t>
      </w:r>
      <w:r>
        <w:rPr>
          <w:rFonts w:hint="eastAsia" w:ascii="仿宋_GB2312" w:hAnsi="宋体" w:eastAsia="仿宋_GB2312" w:cs="Times New Roman"/>
          <w:color w:val="auto"/>
          <w:spacing w:val="-6"/>
          <w:sz w:val="32"/>
          <w:szCs w:val="32"/>
          <w:highlight w:val="none"/>
          <w:lang w:eastAsia="zh-CN"/>
        </w:rPr>
        <w:t>以及</w:t>
      </w:r>
      <w:r>
        <w:rPr>
          <w:rFonts w:hint="eastAsia" w:ascii="仿宋_GB2312" w:hAnsi="宋体" w:eastAsia="仿宋_GB2312" w:cs="Times New Roman"/>
          <w:color w:val="auto"/>
          <w:spacing w:val="-6"/>
          <w:sz w:val="32"/>
          <w:szCs w:val="32"/>
          <w:highlight w:val="none"/>
        </w:rPr>
        <w:t>《关于加强私募投资基金监管的若干规定》（证监会公告〔2020〕71号，以下简称《若干规定》）第四条</w:t>
      </w:r>
      <w:r>
        <w:rPr>
          <w:rFonts w:hint="eastAsia" w:ascii="仿宋_GB2312" w:hAnsi="宋体" w:eastAsia="仿宋_GB2312" w:cs="Times New Roman"/>
          <w:color w:val="auto"/>
          <w:spacing w:val="-6"/>
          <w:sz w:val="32"/>
          <w:szCs w:val="32"/>
          <w:highlight w:val="none"/>
          <w:lang w:eastAsia="zh-CN"/>
        </w:rPr>
        <w:t>的规定。</w:t>
      </w:r>
    </w:p>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312" w:lineRule="auto"/>
        <w:ind w:left="0" w:leftChars="0" w:right="0" w:rightChars="0" w:firstLine="616" w:firstLineChars="200"/>
        <w:jc w:val="both"/>
        <w:textAlignment w:val="auto"/>
        <w:outlineLvl w:val="9"/>
        <w:rPr>
          <w:rFonts w:hint="eastAsia" w:ascii="仿宋_GB2312" w:hAnsi="宋体" w:eastAsia="仿宋_GB2312" w:cs="Times New Roman"/>
          <w:color w:val="auto"/>
          <w:spacing w:val="-6"/>
          <w:sz w:val="32"/>
          <w:szCs w:val="32"/>
          <w:highlight w:val="none"/>
        </w:rPr>
      </w:pPr>
      <w:r>
        <w:rPr>
          <w:rFonts w:hint="eastAsia" w:ascii="仿宋_GB2312" w:hAnsi="宋体" w:eastAsia="仿宋_GB2312" w:cs="Times New Roman"/>
          <w:b w:val="0"/>
          <w:bCs w:val="0"/>
          <w:color w:val="auto"/>
          <w:spacing w:val="-6"/>
          <w:sz w:val="32"/>
          <w:szCs w:val="32"/>
          <w:highlight w:val="none"/>
          <w:lang w:val="en-US" w:eastAsia="zh-CN"/>
        </w:rPr>
        <w:t>三是</w:t>
      </w:r>
      <w:r>
        <w:rPr>
          <w:rFonts w:hint="eastAsia" w:ascii="仿宋_GB2312" w:hAnsi="宋体" w:eastAsia="仿宋_GB2312" w:cs="Times New Roman"/>
          <w:color w:val="auto"/>
          <w:spacing w:val="-6"/>
          <w:sz w:val="32"/>
          <w:szCs w:val="32"/>
          <w:highlight w:val="none"/>
        </w:rPr>
        <w:t>委托不具有基金销售资格的机构从事资金募集活动</w:t>
      </w:r>
      <w:r>
        <w:rPr>
          <w:rFonts w:hint="eastAsia" w:ascii="仿宋_GB2312" w:hAnsi="宋体" w:eastAsia="仿宋_GB2312" w:cs="Times New Roman"/>
          <w:b w:val="0"/>
          <w:bCs w:val="0"/>
          <w:color w:val="auto"/>
          <w:spacing w:val="-6"/>
          <w:sz w:val="32"/>
          <w:szCs w:val="32"/>
          <w:highlight w:val="none"/>
          <w:lang w:val="en-US" w:eastAsia="zh-CN"/>
        </w:rPr>
        <w:t>，</w:t>
      </w:r>
      <w:r>
        <w:rPr>
          <w:rFonts w:hint="eastAsia" w:ascii="仿宋_GB2312" w:hAnsi="宋体" w:eastAsia="仿宋_GB2312" w:cs="Times New Roman"/>
          <w:color w:val="auto"/>
          <w:spacing w:val="-6"/>
          <w:sz w:val="32"/>
          <w:szCs w:val="32"/>
          <w:highlight w:val="none"/>
        </w:rPr>
        <w:t>违反</w:t>
      </w:r>
      <w:r>
        <w:rPr>
          <w:rFonts w:hint="eastAsia" w:ascii="仿宋_GB2312" w:hAnsi="宋体" w:eastAsia="仿宋_GB2312" w:cs="Times New Roman"/>
          <w:color w:val="auto"/>
          <w:spacing w:val="-6"/>
          <w:sz w:val="32"/>
          <w:szCs w:val="32"/>
          <w:highlight w:val="none"/>
          <w:lang w:eastAsia="zh-CN"/>
        </w:rPr>
        <w:t>了</w:t>
      </w:r>
      <w:r>
        <w:rPr>
          <w:rFonts w:hint="eastAsia" w:ascii="仿宋_GB2312" w:hAnsi="宋体" w:eastAsia="仿宋_GB2312" w:cs="Times New Roman"/>
          <w:color w:val="auto"/>
          <w:spacing w:val="-6"/>
          <w:sz w:val="32"/>
          <w:szCs w:val="32"/>
          <w:highlight w:val="none"/>
        </w:rPr>
        <w:t>《私募办法》）第二十三条第九项</w:t>
      </w:r>
      <w:r>
        <w:rPr>
          <w:rFonts w:hint="eastAsia" w:ascii="仿宋_GB2312" w:hAnsi="宋体" w:eastAsia="仿宋_GB2312" w:cs="Times New Roman"/>
          <w:color w:val="auto"/>
          <w:spacing w:val="-6"/>
          <w:sz w:val="32"/>
          <w:szCs w:val="32"/>
          <w:highlight w:val="none"/>
          <w:lang w:eastAsia="zh-CN"/>
        </w:rPr>
        <w:t>以及</w:t>
      </w:r>
      <w:r>
        <w:rPr>
          <w:rFonts w:hint="eastAsia" w:ascii="仿宋_GB2312" w:hAnsi="宋体" w:eastAsia="仿宋_GB2312" w:cs="Times New Roman"/>
          <w:color w:val="auto"/>
          <w:spacing w:val="-6"/>
          <w:sz w:val="32"/>
          <w:szCs w:val="32"/>
          <w:highlight w:val="none"/>
        </w:rPr>
        <w:t>《若干规定》第六条第一款第八项</w:t>
      </w:r>
      <w:r>
        <w:rPr>
          <w:rFonts w:hint="eastAsia" w:ascii="仿宋_GB2312" w:hAnsi="宋体" w:eastAsia="仿宋_GB2312" w:cs="Times New Roman"/>
          <w:color w:val="auto"/>
          <w:spacing w:val="-6"/>
          <w:sz w:val="32"/>
          <w:szCs w:val="32"/>
          <w:highlight w:val="none"/>
          <w:lang w:eastAsia="zh-CN"/>
        </w:rPr>
        <w:t>的</w:t>
      </w:r>
      <w:r>
        <w:rPr>
          <w:rFonts w:hint="eastAsia" w:ascii="仿宋_GB2312" w:hAnsi="宋体" w:eastAsia="仿宋_GB2312" w:cs="Times New Roman"/>
          <w:color w:val="auto"/>
          <w:spacing w:val="-6"/>
          <w:sz w:val="32"/>
          <w:szCs w:val="32"/>
          <w:highlight w:val="none"/>
        </w:rPr>
        <w:t>规定。</w:t>
      </w:r>
    </w:p>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312" w:lineRule="auto"/>
        <w:ind w:left="0" w:leftChars="0" w:right="0" w:rightChars="0" w:firstLine="616" w:firstLineChars="200"/>
        <w:jc w:val="both"/>
        <w:textAlignment w:val="auto"/>
        <w:outlineLvl w:val="9"/>
        <w:rPr>
          <w:rFonts w:hint="eastAsia" w:ascii="仿宋_GB2312" w:hAnsi="宋体" w:eastAsia="仿宋_GB2312" w:cs="Times New Roman"/>
          <w:b w:val="0"/>
          <w:bCs w:val="0"/>
          <w:color w:val="auto"/>
          <w:spacing w:val="-6"/>
          <w:sz w:val="32"/>
          <w:szCs w:val="32"/>
          <w:highlight w:val="none"/>
          <w:lang w:val="en-US" w:eastAsia="zh-CN"/>
        </w:rPr>
      </w:pPr>
      <w:r>
        <w:rPr>
          <w:rFonts w:hint="eastAsia" w:ascii="仿宋_GB2312" w:hAnsi="宋体" w:eastAsia="仿宋_GB2312" w:cs="Times New Roman"/>
          <w:b w:val="0"/>
          <w:bCs w:val="0"/>
          <w:color w:val="auto"/>
          <w:spacing w:val="-6"/>
          <w:sz w:val="32"/>
          <w:szCs w:val="32"/>
          <w:highlight w:val="none"/>
          <w:lang w:val="en-US" w:eastAsia="zh-CN"/>
        </w:rPr>
        <w:t>四是未按规定及时报送信息，违反了</w:t>
      </w:r>
      <w:r>
        <w:rPr>
          <w:rFonts w:hint="eastAsia" w:ascii="仿宋_GB2312" w:hAnsi="宋体" w:eastAsia="仿宋_GB2312" w:cs="Times New Roman"/>
          <w:color w:val="auto"/>
          <w:spacing w:val="-6"/>
          <w:sz w:val="32"/>
          <w:szCs w:val="32"/>
          <w:highlight w:val="none"/>
        </w:rPr>
        <w:t>《私募办法》第二十</w:t>
      </w:r>
      <w:r>
        <w:rPr>
          <w:rFonts w:hint="eastAsia" w:ascii="仿宋_GB2312" w:hAnsi="宋体" w:eastAsia="仿宋_GB2312" w:cs="Times New Roman"/>
          <w:color w:val="auto"/>
          <w:spacing w:val="-6"/>
          <w:sz w:val="32"/>
          <w:szCs w:val="32"/>
          <w:highlight w:val="none"/>
          <w:lang w:eastAsia="zh-CN"/>
        </w:rPr>
        <w:t>五</w:t>
      </w:r>
      <w:r>
        <w:rPr>
          <w:rFonts w:hint="eastAsia" w:ascii="仿宋_GB2312" w:hAnsi="宋体" w:eastAsia="仿宋_GB2312" w:cs="Times New Roman"/>
          <w:color w:val="auto"/>
          <w:spacing w:val="-6"/>
          <w:sz w:val="32"/>
          <w:szCs w:val="32"/>
          <w:highlight w:val="none"/>
        </w:rPr>
        <w:t>条</w:t>
      </w:r>
      <w:r>
        <w:rPr>
          <w:rFonts w:hint="eastAsia" w:ascii="仿宋_GB2312" w:hAnsi="宋体" w:eastAsia="仿宋_GB2312" w:cs="Times New Roman"/>
          <w:color w:val="auto"/>
          <w:spacing w:val="-6"/>
          <w:sz w:val="32"/>
          <w:szCs w:val="32"/>
          <w:highlight w:val="none"/>
          <w:lang w:eastAsia="zh-CN"/>
        </w:rPr>
        <w:t>第一款的规定</w:t>
      </w:r>
      <w:r>
        <w:rPr>
          <w:rFonts w:hint="eastAsia" w:ascii="仿宋_GB2312" w:hAnsi="宋体" w:eastAsia="仿宋_GB2312" w:cs="Times New Roman"/>
          <w:b w:val="0"/>
          <w:bCs w:val="0"/>
          <w:color w:val="auto"/>
          <w:spacing w:val="-6"/>
          <w:sz w:val="32"/>
          <w:szCs w:val="32"/>
          <w:highlight w:val="none"/>
          <w:lang w:val="en-US" w:eastAsia="zh-CN"/>
        </w:rPr>
        <w:t>。</w:t>
      </w:r>
    </w:p>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312" w:lineRule="auto"/>
        <w:ind w:left="0" w:leftChars="0" w:right="0" w:rightChars="0" w:firstLine="616" w:firstLineChars="200"/>
        <w:jc w:val="both"/>
        <w:textAlignment w:val="auto"/>
        <w:outlineLvl w:val="9"/>
        <w:rPr>
          <w:rFonts w:hint="eastAsia" w:ascii="仿宋_GB2312" w:hAnsi="宋体" w:eastAsia="仿宋_GB2312" w:cs="Times New Roman"/>
          <w:color w:val="auto"/>
          <w:spacing w:val="-6"/>
          <w:sz w:val="32"/>
          <w:szCs w:val="32"/>
          <w:highlight w:val="none"/>
          <w:lang w:eastAsia="zh-CN"/>
        </w:rPr>
      </w:pPr>
      <w:r>
        <w:rPr>
          <w:rFonts w:hint="eastAsia" w:ascii="仿宋_GB2312" w:hAnsi="宋体" w:eastAsia="仿宋_GB2312" w:cs="Times New Roman"/>
          <w:b w:val="0"/>
          <w:bCs w:val="0"/>
          <w:color w:val="auto"/>
          <w:spacing w:val="-6"/>
          <w:sz w:val="32"/>
          <w:szCs w:val="32"/>
          <w:highlight w:val="none"/>
          <w:lang w:val="en-US" w:eastAsia="zh-CN"/>
        </w:rPr>
        <w:t>五是未通过获取资产证明或收入证明材料等方式了解部分投资者的财务状况，</w:t>
      </w:r>
      <w:r>
        <w:rPr>
          <w:rFonts w:hint="eastAsia" w:ascii="仿宋_GB2312" w:hAnsi="宋体" w:eastAsia="仿宋_GB2312" w:cs="Times New Roman"/>
          <w:color w:val="auto"/>
          <w:spacing w:val="-6"/>
          <w:sz w:val="32"/>
          <w:szCs w:val="32"/>
          <w:highlight w:val="none"/>
        </w:rPr>
        <w:t>违反了《证券期货投资者适当性管理办法》（证监会令第130号，经证监会令第177号、第202号修正</w:t>
      </w:r>
      <w:r>
        <w:rPr>
          <w:rFonts w:hint="eastAsia" w:ascii="仿宋_GB2312" w:hAnsi="宋体" w:eastAsia="仿宋_GB2312" w:cs="Times New Roman"/>
          <w:color w:val="auto"/>
          <w:spacing w:val="-6"/>
          <w:sz w:val="32"/>
          <w:szCs w:val="32"/>
          <w:highlight w:val="none"/>
          <w:lang w:eastAsia="zh-CN"/>
        </w:rPr>
        <w:t>，以下简称《适当性办法》</w:t>
      </w:r>
      <w:r>
        <w:rPr>
          <w:rFonts w:hint="eastAsia" w:ascii="仿宋_GB2312" w:hAnsi="宋体" w:eastAsia="仿宋_GB2312" w:cs="Times New Roman"/>
          <w:color w:val="auto"/>
          <w:spacing w:val="-6"/>
          <w:sz w:val="32"/>
          <w:szCs w:val="32"/>
          <w:highlight w:val="none"/>
        </w:rPr>
        <w:t>）第六条第二项</w:t>
      </w:r>
      <w:r>
        <w:rPr>
          <w:rFonts w:hint="eastAsia" w:ascii="仿宋_GB2312" w:hAnsi="宋体" w:eastAsia="仿宋_GB2312" w:cs="Times New Roman"/>
          <w:color w:val="auto"/>
          <w:spacing w:val="-6"/>
          <w:sz w:val="32"/>
          <w:szCs w:val="32"/>
          <w:highlight w:val="none"/>
          <w:lang w:eastAsia="zh-CN"/>
        </w:rPr>
        <w:t>的规定。</w:t>
      </w:r>
    </w:p>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312" w:lineRule="auto"/>
        <w:ind w:left="0" w:leftChars="0" w:right="0" w:rightChars="0" w:firstLine="640" w:firstLineChars="200"/>
        <w:jc w:val="both"/>
        <w:textAlignment w:val="auto"/>
        <w:outlineLvl w:val="9"/>
        <w:rPr>
          <w:rFonts w:hint="eastAsia" w:ascii="仿宋_GB2312" w:hAnsi="仿宋_GB2312" w:eastAsia="仿宋_GB2312" w:cs="仿宋"/>
          <w:color w:val="auto"/>
          <w:sz w:val="32"/>
          <w:szCs w:val="30"/>
          <w:lang w:val="en-US" w:eastAsia="zh-CN"/>
        </w:rPr>
      </w:pPr>
      <w:r>
        <w:rPr>
          <w:rFonts w:hint="eastAsia" w:ascii="仿宋_GB2312" w:hAnsi="仿宋_GB2312" w:eastAsia="仿宋_GB2312" w:cs="仿宋"/>
          <w:color w:val="auto"/>
          <w:sz w:val="32"/>
          <w:szCs w:val="30"/>
          <w:lang w:val="en-US" w:eastAsia="zh-CN"/>
        </w:rPr>
        <w:t>根据《私募办法》第三十三条、《适当性办法》第三十七条以及《若干规定》第十三</w:t>
      </w:r>
      <w:r>
        <w:rPr>
          <w:rFonts w:hint="eastAsia" w:ascii="仿宋_GB2312" w:hAnsi="仿宋_GB2312" w:eastAsia="仿宋_GB2312" w:cs="仿宋"/>
          <w:color w:val="auto"/>
          <w:sz w:val="32"/>
          <w:szCs w:val="30"/>
          <w:highlight w:val="none"/>
          <w:lang w:val="en-US" w:eastAsia="zh-CN"/>
        </w:rPr>
        <w:t>条第一款</w:t>
      </w:r>
      <w:r>
        <w:rPr>
          <w:rFonts w:hint="eastAsia" w:ascii="仿宋_GB2312" w:hAnsi="仿宋_GB2312" w:eastAsia="仿宋_GB2312" w:cs="仿宋"/>
          <w:color w:val="auto"/>
          <w:sz w:val="32"/>
          <w:szCs w:val="30"/>
          <w:lang w:val="en-US" w:eastAsia="zh-CN"/>
        </w:rPr>
        <w:t>的规定，我局决定对你公司采取责令改正的行政监管措施。</w:t>
      </w:r>
      <w:r>
        <w:rPr>
          <w:rFonts w:hint="eastAsia" w:ascii="仿宋_GB2312" w:hAnsi="仿宋_GB2312" w:eastAsia="仿宋_GB2312" w:cs="仿宋_GB2312"/>
          <w:sz w:val="32"/>
        </w:rPr>
        <w:t>你公司应</w:t>
      </w:r>
      <w:r>
        <w:rPr>
          <w:rFonts w:hint="eastAsia" w:ascii="仿宋_GB2312" w:hAnsi="仿宋_GB2312" w:eastAsia="仿宋_GB2312" w:cs="仿宋_GB2312"/>
          <w:sz w:val="32"/>
          <w:lang w:eastAsia="zh-CN"/>
        </w:rPr>
        <w:t>高度重视</w:t>
      </w:r>
      <w:r>
        <w:rPr>
          <w:rFonts w:hint="eastAsia" w:ascii="仿宋_GB2312" w:hAnsi="仿宋_GB2312" w:eastAsia="仿宋_GB2312" w:cs="仿宋_GB2312"/>
          <w:sz w:val="32"/>
        </w:rPr>
        <w:t>，</w:t>
      </w:r>
      <w:r>
        <w:rPr>
          <w:rFonts w:hint="eastAsia" w:ascii="仿宋_GB2312" w:hAnsi="仿宋_GB2312" w:eastAsia="仿宋_GB2312" w:cs="仿宋_GB2312"/>
          <w:sz w:val="32"/>
          <w:lang w:eastAsia="zh-CN"/>
        </w:rPr>
        <w:t>采取切实</w:t>
      </w:r>
      <w:r>
        <w:rPr>
          <w:rFonts w:hint="eastAsia" w:ascii="仿宋_GB2312" w:hAnsi="仿宋_GB2312" w:eastAsia="仿宋_GB2312" w:cs="仿宋_GB2312"/>
          <w:spacing w:val="0"/>
          <w:sz w:val="32"/>
          <w:lang w:eastAsia="zh-CN"/>
        </w:rPr>
        <w:t>有效的措施</w:t>
      </w:r>
      <w:r>
        <w:rPr>
          <w:rFonts w:hint="eastAsia" w:ascii="仿宋_GB2312" w:hAnsi="仿宋_GB2312" w:eastAsia="仿宋_GB2312" w:cs="仿宋_GB2312"/>
          <w:spacing w:val="0"/>
          <w:sz w:val="32"/>
        </w:rPr>
        <w:t>，</w:t>
      </w:r>
      <w:r>
        <w:rPr>
          <w:rFonts w:hint="eastAsia" w:ascii="仿宋_GB2312" w:hAnsi="仿宋_GB2312" w:eastAsia="仿宋_GB2312" w:cs="仿宋_GB2312"/>
          <w:spacing w:val="0"/>
          <w:sz w:val="32"/>
          <w:lang w:eastAsia="zh-CN"/>
        </w:rPr>
        <w:t>对存在的问题进行整改，对相关责任人员进行问责，并在收到本决定书之日起</w:t>
      </w:r>
      <w:r>
        <w:rPr>
          <w:rFonts w:hint="eastAsia" w:ascii="仿宋_GB2312" w:hAnsi="仿宋_GB2312" w:eastAsia="仿宋_GB2312" w:cs="仿宋_GB2312"/>
          <w:spacing w:val="0"/>
          <w:sz w:val="32"/>
          <w:lang w:val="en-US" w:eastAsia="zh-CN"/>
        </w:rPr>
        <w:t>30日内</w:t>
      </w:r>
      <w:r>
        <w:rPr>
          <w:rFonts w:hint="eastAsia" w:ascii="仿宋_GB2312" w:hAnsi="仿宋_GB2312" w:eastAsia="仿宋_GB2312" w:cs="仿宋_GB2312"/>
          <w:spacing w:val="0"/>
          <w:sz w:val="32"/>
          <w:lang w:eastAsia="zh-CN"/>
        </w:rPr>
        <w:t>向我局</w:t>
      </w:r>
      <w:r>
        <w:rPr>
          <w:rFonts w:hint="eastAsia" w:ascii="仿宋_GB2312" w:hAnsi="仿宋_GB2312" w:eastAsia="仿宋_GB2312" w:cs="仿宋_GB2312"/>
          <w:spacing w:val="0"/>
          <w:sz w:val="32"/>
        </w:rPr>
        <w:t>提交书面整改报</w:t>
      </w:r>
      <w:r>
        <w:rPr>
          <w:rFonts w:hint="eastAsia" w:ascii="仿宋_GB2312" w:hAnsi="仿宋_GB2312" w:eastAsia="仿宋_GB2312" w:cs="仿宋_GB2312"/>
          <w:sz w:val="32"/>
        </w:rPr>
        <w:t>告</w:t>
      </w:r>
      <w:r>
        <w:rPr>
          <w:rFonts w:hint="eastAsia" w:ascii="仿宋_GB2312" w:hAnsi="仿宋_GB2312" w:eastAsia="仿宋_GB2312" w:cs="仿宋"/>
          <w:color w:val="auto"/>
          <w:sz w:val="32"/>
          <w:szCs w:val="30"/>
          <w:lang w:val="en-US" w:eastAsia="zh-CN"/>
        </w:rPr>
        <w:t>。</w:t>
      </w:r>
    </w:p>
    <w:p>
      <w:pPr>
        <w:overflowPunct w:val="0"/>
        <w:adjustRightInd w:val="0"/>
        <w:snapToGrid w:val="0"/>
        <w:spacing w:beforeLines="0" w:afterLines="0" w:line="312" w:lineRule="auto"/>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lang w:eastAsia="zh-CN"/>
        </w:rPr>
        <w:t>你公司</w:t>
      </w:r>
      <w:r>
        <w:rPr>
          <w:rFonts w:hint="eastAsia" w:ascii="仿宋_GB2312" w:hAnsi="仿宋_GB2312" w:eastAsia="仿宋_GB2312" w:cs="仿宋_GB2312"/>
          <w:sz w:val="32"/>
        </w:rPr>
        <w:t>如果对本监督管理措施不服，可以</w:t>
      </w:r>
      <w:bookmarkStart w:id="2" w:name="_GoBack"/>
      <w:bookmarkEnd w:id="2"/>
      <w:r>
        <w:rPr>
          <w:rFonts w:hint="eastAsia" w:ascii="仿宋_GB2312" w:hAnsi="仿宋_GB2312" w:eastAsia="仿宋_GB2312" w:cs="仿宋_GB2312"/>
          <w:sz w:val="32"/>
        </w:rPr>
        <w:t>在收到本决定书之日起60日内向中国证券监督管理委员会提出行政复议申请</w:t>
      </w:r>
      <w:r>
        <w:rPr>
          <w:rFonts w:hint="eastAsia" w:ascii="仿宋_GB2312" w:hAnsi="仿宋_GB2312" w:eastAsia="仿宋_GB2312" w:cs="仿宋_GB2312"/>
          <w:sz w:val="32"/>
          <w:lang w:val="en-US" w:eastAsia="zh-CN"/>
        </w:rPr>
        <w:t>,</w:t>
      </w:r>
      <w:r>
        <w:rPr>
          <w:rFonts w:hint="eastAsia" w:ascii="仿宋_GB2312" w:hAnsi="仿宋_GB2312" w:eastAsia="仿宋_GB2312" w:cs="仿宋_GB2312"/>
          <w:sz w:val="32"/>
        </w:rPr>
        <w:t>也可以在收到本决定书之日起6个月内向有管辖权的人民法院提起诉讼。复议与诉讼期间，上述监督管理措施不停止执行。</w:t>
      </w:r>
    </w:p>
    <w:p>
      <w:pPr>
        <w:keepNext w:val="0"/>
        <w:keepLines w:val="0"/>
        <w:pageBreakBefore w:val="0"/>
        <w:widowControl w:val="0"/>
        <w:kinsoku/>
        <w:wordWrap/>
        <w:overflowPunct w:val="0"/>
        <w:topLinePunct w:val="0"/>
        <w:autoSpaceDE/>
        <w:autoSpaceDN/>
        <w:bidi w:val="0"/>
        <w:adjustRightInd w:val="0"/>
        <w:snapToGrid w:val="0"/>
        <w:spacing w:line="336" w:lineRule="auto"/>
        <w:jc w:val="left"/>
        <w:textAlignment w:val="auto"/>
        <w:rPr>
          <w:rFonts w:ascii="宋体" w:hAnsi="宋体" w:eastAsia="宋体" w:cs="宋体"/>
          <w:color w:val="000000"/>
          <w:sz w:val="15"/>
          <w:szCs w:val="15"/>
        </w:rPr>
      </w:pPr>
    </w:p>
    <w:p>
      <w:pPr>
        <w:keepNext w:val="0"/>
        <w:keepLines w:val="0"/>
        <w:pageBreakBefore w:val="0"/>
        <w:widowControl w:val="0"/>
        <w:kinsoku/>
        <w:wordWrap/>
        <w:overflowPunct w:val="0"/>
        <w:topLinePunct w:val="0"/>
        <w:autoSpaceDE/>
        <w:autoSpaceDN/>
        <w:bidi w:val="0"/>
        <w:adjustRightInd w:val="0"/>
        <w:snapToGrid w:val="0"/>
        <w:spacing w:line="336" w:lineRule="auto"/>
        <w:jc w:val="left"/>
        <w:textAlignment w:val="auto"/>
        <w:rPr>
          <w:rFonts w:ascii="宋体" w:hAnsi="宋体" w:eastAsia="宋体" w:cs="宋体"/>
          <w:color w:val="000000"/>
          <w:sz w:val="15"/>
          <w:szCs w:val="15"/>
        </w:rPr>
      </w:pPr>
    </w:p>
    <w:p>
      <w:pPr>
        <w:keepNext w:val="0"/>
        <w:keepLines w:val="0"/>
        <w:pageBreakBefore w:val="0"/>
        <w:widowControl w:val="0"/>
        <w:kinsoku/>
        <w:wordWrap/>
        <w:overflowPunct w:val="0"/>
        <w:topLinePunct w:val="0"/>
        <w:autoSpaceDE/>
        <w:autoSpaceDN/>
        <w:bidi w:val="0"/>
        <w:adjustRightInd w:val="0"/>
        <w:snapToGrid w:val="0"/>
        <w:spacing w:line="336" w:lineRule="auto"/>
        <w:jc w:val="left"/>
        <w:textAlignment w:val="auto"/>
        <w:rPr>
          <w:rFonts w:ascii="宋体" w:hAnsi="宋体" w:eastAsia="宋体" w:cs="宋体"/>
          <w:color w:val="000000"/>
          <w:sz w:val="15"/>
          <w:szCs w:val="15"/>
        </w:rPr>
      </w:pPr>
    </w:p>
    <w:p>
      <w:pPr>
        <w:overflowPunct w:val="0"/>
        <w:adjustRightInd w:val="0"/>
        <w:snapToGrid w:val="0"/>
        <w:spacing w:line="336" w:lineRule="auto"/>
        <w:ind w:right="1705"/>
        <w:jc w:val="right"/>
        <w:rPr>
          <w:rFonts w:hint="eastAsia" w:ascii="仿宋_GB2312" w:hAnsi="Times New Roman" w:eastAsia="仿宋_GB2312" w:cs="Times New Roman"/>
          <w:color w:val="000000"/>
          <w:sz w:val="32"/>
          <w:szCs w:val="20"/>
        </w:rPr>
      </w:pPr>
      <w:r>
        <w:rPr>
          <w:rFonts w:hint="eastAsia" w:ascii="仿宋_GB2312" w:hAnsi="Times New Roman" w:eastAsia="仿宋_GB2312" w:cs="Times New Roman"/>
          <w:color w:val="000000"/>
          <w:sz w:val="32"/>
          <w:szCs w:val="20"/>
        </w:rPr>
        <w:t>广东证监局</w:t>
      </w:r>
    </w:p>
    <w:p>
      <w:pPr>
        <w:numPr>
          <w:ilvl w:val="0"/>
          <w:numId w:val="0"/>
        </w:numPr>
        <w:pBdr>
          <w:top w:val="none" w:color="auto" w:sz="0" w:space="0"/>
          <w:bottom w:val="none" w:color="auto" w:sz="0" w:space="0"/>
        </w:pBdr>
        <w:overflowPunct w:val="0"/>
        <w:adjustRightInd w:val="0"/>
        <w:snapToGrid w:val="0"/>
        <w:spacing w:beforeLines="0" w:afterLines="0" w:line="336" w:lineRule="auto"/>
        <w:jc w:val="center"/>
        <w:outlineLvl w:val="9"/>
        <w:rPr>
          <w:rFonts w:ascii="Calibri" w:hAnsi="Calibri" w:eastAsia="宋体" w:cs="Times New Roman"/>
          <w:szCs w:val="24"/>
        </w:rPr>
      </w:pPr>
      <w:r>
        <w:rPr>
          <w:rFonts w:hint="eastAsia" w:ascii="仿宋_GB2312" w:hAnsi="Times New Roman" w:eastAsia="仿宋_GB2312" w:cs="Times New Roman"/>
          <w:color w:val="000000"/>
          <w:spacing w:val="10"/>
          <w:sz w:val="28"/>
          <w:szCs w:val="28"/>
          <w:lang w:val="en-US" w:eastAsia="zh-CN"/>
        </w:rPr>
        <w:t xml:space="preserve">   </w:t>
      </w:r>
      <w:r>
        <w:rPr>
          <w:rFonts w:hint="eastAsia" w:ascii="仿宋_GB2312" w:hAnsi="Times New Roman" w:eastAsia="仿宋_GB2312" w:cs="Times New Roman"/>
          <w:color w:val="000000"/>
          <w:spacing w:val="10"/>
          <w:sz w:val="32"/>
          <w:szCs w:val="32"/>
          <w:lang w:val="en-US" w:eastAsia="zh-CN"/>
        </w:rPr>
        <w:t xml:space="preserve">         </w:t>
      </w:r>
      <w:r>
        <w:rPr>
          <w:rFonts w:hint="default" w:ascii="仿宋_GB2312" w:hAnsi="Times New Roman" w:eastAsia="仿宋_GB2312" w:cs="Times New Roman"/>
          <w:color w:val="000000"/>
          <w:spacing w:val="10"/>
          <w:sz w:val="32"/>
          <w:szCs w:val="32"/>
          <w:lang w:val="en-US" w:eastAsia="zh-CN"/>
        </w:rPr>
        <w:t xml:space="preserve">     </w:t>
      </w:r>
      <w:r>
        <w:rPr>
          <w:rFonts w:hint="eastAsia" w:ascii="仿宋_GB2312" w:hAnsi="Times New Roman" w:eastAsia="仿宋_GB2312" w:cs="Times New Roman"/>
          <w:color w:val="000000"/>
          <w:spacing w:val="10"/>
          <w:sz w:val="32"/>
          <w:szCs w:val="32"/>
          <w:lang w:val="en-US" w:eastAsia="zh-CN"/>
        </w:rPr>
        <w:t xml:space="preserve">     </w:t>
      </w:r>
      <w:r>
        <w:rPr>
          <w:rFonts w:hint="eastAsia" w:ascii="仿宋_GB2312" w:hAnsi="Times New Roman" w:eastAsia="仿宋_GB2312" w:cs="Times New Roman"/>
          <w:color w:val="000000"/>
          <w:spacing w:val="10"/>
          <w:sz w:val="32"/>
          <w:szCs w:val="32"/>
          <w:lang w:eastAsia="zh-CN"/>
        </w:rPr>
        <w:t>2</w:t>
      </w:r>
      <w:r>
        <w:rPr>
          <w:rFonts w:hint="eastAsia" w:ascii="仿宋_GB2312" w:hAnsi="Times New Roman" w:eastAsia="仿宋_GB2312" w:cs="Times New Roman"/>
          <w:color w:val="000000"/>
          <w:spacing w:val="10"/>
          <w:sz w:val="32"/>
          <w:szCs w:val="32"/>
          <w:lang w:val="en-US" w:eastAsia="zh-CN"/>
        </w:rPr>
        <w:t>026</w:t>
      </w:r>
      <w:r>
        <w:rPr>
          <w:rFonts w:hint="eastAsia" w:ascii="仿宋_GB2312" w:hAnsi="Times New Roman" w:eastAsia="仿宋_GB2312" w:cs="Times New Roman"/>
          <w:color w:val="000000"/>
          <w:spacing w:val="10"/>
          <w:sz w:val="32"/>
          <w:szCs w:val="32"/>
        </w:rPr>
        <w:t>年</w:t>
      </w:r>
      <w:r>
        <w:rPr>
          <w:rFonts w:hint="default" w:ascii="仿宋_GB2312" w:hAnsi="Times New Roman" w:eastAsia="仿宋_GB2312" w:cs="Times New Roman"/>
          <w:color w:val="000000"/>
          <w:spacing w:val="10"/>
          <w:sz w:val="32"/>
          <w:szCs w:val="32"/>
          <w:lang w:val="en-US" w:eastAsia="zh-CN"/>
        </w:rPr>
        <w:t>2</w:t>
      </w:r>
      <w:r>
        <w:rPr>
          <w:rFonts w:hint="eastAsia" w:ascii="仿宋_GB2312" w:hAnsi="Times New Roman" w:eastAsia="仿宋_GB2312" w:cs="Times New Roman"/>
          <w:color w:val="000000"/>
          <w:spacing w:val="10"/>
          <w:sz w:val="32"/>
          <w:szCs w:val="32"/>
        </w:rPr>
        <w:t>月</w:t>
      </w:r>
      <w:r>
        <w:rPr>
          <w:rFonts w:hint="default" w:ascii="仿宋_GB2312" w:hAnsi="Times New Roman" w:eastAsia="仿宋_GB2312" w:cs="Times New Roman"/>
          <w:color w:val="000000"/>
          <w:spacing w:val="10"/>
          <w:sz w:val="32"/>
          <w:szCs w:val="32"/>
          <w:lang w:val="en-US"/>
        </w:rPr>
        <w:t>26</w:t>
      </w:r>
      <w:r>
        <w:rPr>
          <w:rFonts w:hint="eastAsia" w:ascii="仿宋_GB2312" w:hAnsi="Times New Roman" w:eastAsia="仿宋_GB2312" w:cs="Times New Roman"/>
          <w:color w:val="000000"/>
          <w:spacing w:val="10"/>
          <w:sz w:val="32"/>
          <w:szCs w:val="32"/>
        </w:rPr>
        <w:t>日</w:t>
      </w:r>
    </w:p>
    <w:p>
      <w:pPr>
        <w:snapToGrid w:val="0"/>
        <w:spacing w:line="300" w:lineRule="auto"/>
        <w:ind w:right="26"/>
        <w:jc w:val="left"/>
        <w:rPr>
          <w:rFonts w:hint="eastAsia" w:ascii="黑体" w:hAnsi="Calibri" w:eastAsia="黑体" w:cs="Times New Roman"/>
          <w:spacing w:val="8"/>
          <w:sz w:val="32"/>
          <w:szCs w:val="24"/>
        </w:rPr>
      </w:pPr>
    </w:p>
    <w:p>
      <w:pPr>
        <w:keepNext w:val="0"/>
        <w:keepLines w:val="0"/>
        <w:pageBreakBefore w:val="0"/>
        <w:widowControl w:val="0"/>
        <w:pBdr>
          <w:top w:val="single" w:color="auto" w:sz="8" w:space="6"/>
        </w:pBdr>
        <w:kinsoku/>
        <w:wordWrap/>
        <w:overflowPunct/>
        <w:topLinePunct w:val="0"/>
        <w:autoSpaceDE/>
        <w:autoSpaceDN/>
        <w:bidi w:val="0"/>
        <w:adjustRightInd w:val="0"/>
        <w:snapToGrid w:val="0"/>
        <w:spacing w:after="109" w:afterLines="35"/>
        <w:ind w:firstLine="296" w:firstLineChars="100"/>
        <w:textAlignment w:val="auto"/>
        <w:rPr>
          <w:rFonts w:ascii="长城仿宋" w:hAnsi="Calibri" w:eastAsia="长城仿宋" w:cs="Times New Roman"/>
          <w:sz w:val="28"/>
          <w:szCs w:val="24"/>
        </w:rPr>
      </w:pPr>
      <w:r>
        <w:rPr>
          <w:rFonts w:hint="eastAsia" w:ascii="仿宋_GB2312" w:hAnsi="Calibri" w:eastAsia="仿宋_GB2312" w:cs="Times New Roman"/>
          <w:spacing w:val="8"/>
          <w:sz w:val="28"/>
          <w:szCs w:val="24"/>
        </w:rPr>
        <w:t>抄送：</w:t>
      </w:r>
      <w:r>
        <w:rPr>
          <w:rFonts w:hint="eastAsia" w:ascii="仿宋_GB2312" w:hAnsi="Times New Roman" w:eastAsia="仿宋_GB2312" w:cs="Times New Roman"/>
          <w:spacing w:val="8"/>
          <w:sz w:val="28"/>
        </w:rPr>
        <w:t>会市场二</w:t>
      </w:r>
      <w:r>
        <w:rPr>
          <w:rFonts w:hint="eastAsia" w:ascii="仿宋_GB2312" w:hAnsi="Times New Roman" w:eastAsia="仿宋_GB2312" w:cs="Times New Roman"/>
          <w:spacing w:val="8"/>
          <w:sz w:val="28"/>
          <w:lang w:eastAsia="zh-CN"/>
        </w:rPr>
        <w:t>司</w:t>
      </w:r>
      <w:r>
        <w:rPr>
          <w:rFonts w:hint="eastAsia" w:ascii="仿宋_GB2312" w:hAnsi="Times New Roman" w:eastAsia="仿宋_GB2312" w:cs="Times New Roman"/>
          <w:spacing w:val="8"/>
          <w:sz w:val="28"/>
        </w:rPr>
        <w:t>，</w:t>
      </w:r>
      <w:r>
        <w:rPr>
          <w:rFonts w:hint="eastAsia" w:ascii="仿宋_GB2312" w:hAnsi="Times New Roman" w:eastAsia="仿宋_GB2312" w:cs="Times New Roman"/>
          <w:spacing w:val="8"/>
          <w:sz w:val="28"/>
          <w:lang w:eastAsia="zh-CN"/>
        </w:rPr>
        <w:t>法治司</w:t>
      </w:r>
      <w:r>
        <w:rPr>
          <w:rFonts w:hint="eastAsia" w:ascii="仿宋_GB2312" w:hAnsi="Times New Roman" w:eastAsia="仿宋_GB2312" w:cs="Times New Roman"/>
          <w:spacing w:val="8"/>
          <w:sz w:val="28"/>
        </w:rPr>
        <w:t>；中国证券投资基金业协会</w:t>
      </w:r>
      <w:r>
        <w:rPr>
          <w:rFonts w:hint="eastAsia" w:ascii="仿宋_GB2312" w:hAnsi="Calibri" w:eastAsia="仿宋_GB2312" w:cs="Times New Roman"/>
          <w:spacing w:val="8"/>
          <w:sz w:val="28"/>
          <w:szCs w:val="24"/>
        </w:rPr>
        <w:t>。</w:t>
      </w:r>
    </w:p>
    <w:p>
      <w:pPr>
        <w:keepNext w:val="0"/>
        <w:keepLines w:val="0"/>
        <w:pageBreakBefore w:val="0"/>
        <w:widowControl w:val="0"/>
        <w:pBdr>
          <w:top w:val="single" w:color="auto" w:sz="4" w:space="6"/>
        </w:pBdr>
        <w:kinsoku/>
        <w:wordWrap/>
        <w:overflowPunct/>
        <w:topLinePunct w:val="0"/>
        <w:autoSpaceDE/>
        <w:autoSpaceDN/>
        <w:bidi w:val="0"/>
        <w:adjustRightInd w:val="0"/>
        <w:snapToGrid w:val="0"/>
        <w:spacing w:after="109" w:afterLines="35"/>
        <w:ind w:firstLine="296" w:firstLineChars="100"/>
        <w:jc w:val="left"/>
        <w:textAlignment w:val="auto"/>
        <w:rPr>
          <w:rFonts w:hint="eastAsia" w:ascii="仿宋_GB2312" w:hAnsi="Calibri" w:eastAsia="仿宋_GB2312" w:cs="Times New Roman"/>
          <w:spacing w:val="8"/>
          <w:sz w:val="28"/>
          <w:szCs w:val="24"/>
        </w:rPr>
      </w:pPr>
      <w:r>
        <w:rPr>
          <w:rFonts w:hint="eastAsia" w:ascii="仿宋_GB2312" w:hAnsi="Calibri" w:eastAsia="仿宋_GB2312" w:cs="Times New Roman"/>
          <w:spacing w:val="8"/>
          <w:sz w:val="28"/>
          <w:szCs w:val="24"/>
        </w:rPr>
        <w:t xml:space="preserve">广东证监局办公室            </w:t>
      </w:r>
      <w:r>
        <w:rPr>
          <w:rFonts w:hint="default" w:ascii="仿宋_GB2312" w:hAnsi="Calibri" w:eastAsia="仿宋_GB2312" w:cs="Times New Roman"/>
          <w:spacing w:val="8"/>
          <w:sz w:val="28"/>
          <w:szCs w:val="24"/>
          <w:lang w:val="en-US"/>
        </w:rPr>
        <w:t xml:space="preserve">      </w:t>
      </w:r>
      <w:r>
        <w:rPr>
          <w:rFonts w:hint="eastAsia" w:ascii="仿宋_GB2312" w:hAnsi="Calibri" w:eastAsia="仿宋_GB2312" w:cs="Times New Roman"/>
          <w:spacing w:val="8"/>
          <w:sz w:val="28"/>
          <w:szCs w:val="24"/>
        </w:rPr>
        <w:t xml:space="preserve"> </w:t>
      </w:r>
      <w:r>
        <w:rPr>
          <w:rFonts w:hint="default" w:ascii="仿宋_GB2312" w:hAnsi="Calibri" w:eastAsia="仿宋_GB2312" w:cs="Times New Roman"/>
          <w:spacing w:val="8"/>
          <w:sz w:val="28"/>
          <w:szCs w:val="24"/>
          <w:lang w:val="en" w:eastAsia="zh-CN"/>
        </w:rPr>
        <w:t>202</w:t>
      </w:r>
      <w:r>
        <w:rPr>
          <w:rFonts w:hint="default" w:ascii="仿宋_GB2312" w:hAnsi="Calibri" w:eastAsia="仿宋_GB2312" w:cs="Times New Roman"/>
          <w:spacing w:val="8"/>
          <w:sz w:val="28"/>
          <w:szCs w:val="24"/>
          <w:lang w:val="en-US" w:eastAsia="zh-CN"/>
        </w:rPr>
        <w:t>6</w:t>
      </w:r>
      <w:r>
        <w:rPr>
          <w:rFonts w:hint="eastAsia" w:ascii="仿宋_GB2312" w:hAnsi="Calibri" w:eastAsia="仿宋_GB2312" w:cs="Times New Roman"/>
          <w:spacing w:val="8"/>
          <w:sz w:val="28"/>
          <w:szCs w:val="24"/>
        </w:rPr>
        <w:t>年</w:t>
      </w:r>
      <w:r>
        <w:rPr>
          <w:rFonts w:hint="default" w:ascii="仿宋_GB2312" w:hAnsi="Calibri" w:eastAsia="仿宋_GB2312" w:cs="Times New Roman"/>
          <w:spacing w:val="8"/>
          <w:sz w:val="28"/>
          <w:szCs w:val="24"/>
          <w:lang w:val="en-US"/>
        </w:rPr>
        <w:t>2</w:t>
      </w:r>
      <w:r>
        <w:rPr>
          <w:rFonts w:hint="eastAsia" w:ascii="仿宋_GB2312" w:hAnsi="Calibri" w:eastAsia="仿宋_GB2312" w:cs="Times New Roman"/>
          <w:spacing w:val="8"/>
          <w:sz w:val="28"/>
          <w:szCs w:val="24"/>
        </w:rPr>
        <w:t>月</w:t>
      </w:r>
      <w:r>
        <w:rPr>
          <w:rFonts w:hint="default" w:ascii="仿宋_GB2312" w:hAnsi="Calibri" w:eastAsia="仿宋_GB2312" w:cs="Times New Roman"/>
          <w:spacing w:val="8"/>
          <w:sz w:val="28"/>
          <w:szCs w:val="24"/>
          <w:lang w:val="en-US"/>
        </w:rPr>
        <w:t>26</w:t>
      </w:r>
      <w:r>
        <w:rPr>
          <w:rFonts w:hint="eastAsia" w:ascii="仿宋_GB2312" w:hAnsi="Calibri" w:eastAsia="仿宋_GB2312" w:cs="Times New Roman"/>
          <w:spacing w:val="8"/>
          <w:sz w:val="28"/>
          <w:szCs w:val="24"/>
        </w:rPr>
        <w:t>日印发</w:t>
      </w:r>
    </w:p>
    <w:bookmarkEnd w:id="1"/>
    <w:p>
      <w:pPr>
        <w:keepNext w:val="0"/>
        <w:keepLines w:val="0"/>
        <w:pageBreakBefore w:val="0"/>
        <w:widowControl w:val="0"/>
        <w:pBdr>
          <w:top w:val="single" w:color="auto" w:sz="8" w:space="7"/>
        </w:pBdr>
        <w:kinsoku/>
        <w:wordWrap/>
        <w:overflowPunct/>
        <w:topLinePunct w:val="0"/>
        <w:autoSpaceDE/>
        <w:autoSpaceDN/>
        <w:bidi w:val="0"/>
        <w:adjustRightInd w:val="0"/>
        <w:snapToGrid w:val="0"/>
        <w:spacing w:line="240" w:lineRule="auto"/>
        <w:ind w:firstLine="0"/>
        <w:jc w:val="left"/>
        <w:textAlignment w:val="auto"/>
        <w:rPr>
          <w:rFonts w:hint="eastAsia" w:ascii="仿宋_GB2312" w:hAnsi="Calibri" w:eastAsia="仿宋_GB2312" w:cs="Times New Roman"/>
          <w:spacing w:val="8"/>
          <w:sz w:val="2"/>
          <w:szCs w:val="2"/>
        </w:rPr>
      </w:pPr>
    </w:p>
    <w:sectPr>
      <w:footerReference r:id="rId3" w:type="default"/>
      <w:pgSz w:w="11906" w:h="16838"/>
      <w:pgMar w:top="2097" w:right="1474" w:bottom="1984" w:left="1587" w:header="851" w:footer="1587"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CAGKDB+CESI_FS_GB18030"/>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长城仿宋">
    <w:altName w:val="宋体"/>
    <w:panose1 w:val="02010609000101010101"/>
    <w:charset w:val="00"/>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240" w:lineRule="auto"/>
      <w:rPr>
        <w:rFonts w:hint="eastAsia" w:ascii="宋体" w:hAnsi="宋体" w:eastAsia="宋体" w:cs="宋体"/>
        <w:sz w:val="28"/>
        <w:lang w:val="en-US"/>
      </w:rPr>
    </w:pPr>
    <w:r>
      <w:rPr>
        <w:rFonts w:hint="eastAsia" w:ascii="宋体" w:hAnsi="宋体" w:eastAsia="宋体" w:cs="宋体"/>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align>top</wp:align>
              </wp:positionV>
              <wp:extent cx="1828800" cy="182880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sz w:val="28"/>
                              <w:lang w:val="en-US"/>
                            </w:rPr>
                          </w:pPr>
                          <w:r>
                            <w:rPr>
                              <w:rFonts w:hint="eastAsia" w:ascii="宋体" w:hAnsi="宋体" w:eastAsia="宋体" w:cs="宋体"/>
                              <w:sz w:val="28"/>
                              <w:lang w:val="en-US"/>
                            </w:rPr>
                            <w:fldChar w:fldCharType="begin"/>
                          </w:r>
                          <w:r>
                            <w:rPr>
                              <w:rFonts w:hint="eastAsia" w:ascii="宋体" w:hAnsi="宋体" w:eastAsia="宋体" w:cs="宋体"/>
                              <w:sz w:val="28"/>
                              <w:lang w:val="en-US"/>
                            </w:rPr>
                            <w:instrText xml:space="preserve"> PAGE  \* MERGEFORMAT </w:instrText>
                          </w:r>
                          <w:r>
                            <w:rPr>
                              <w:rFonts w:hint="eastAsia" w:ascii="宋体" w:hAnsi="宋体" w:eastAsia="宋体" w:cs="宋体"/>
                              <w:sz w:val="28"/>
                              <w:lang w:val="en-US"/>
                            </w:rPr>
                            <w:fldChar w:fldCharType="separate"/>
                          </w:r>
                          <w:r>
                            <w:rPr>
                              <w:rFonts w:hint="eastAsia" w:ascii="宋体" w:hAnsi="宋体" w:eastAsia="宋体" w:cs="宋体"/>
                              <w:sz w:val="28"/>
                              <w:lang w:val="en-US"/>
                            </w:rPr>
                            <w:t>- 1 -</w:t>
                          </w:r>
                          <w:r>
                            <w:rPr>
                              <w:rFonts w:hint="eastAsia" w:ascii="宋体" w:hAnsi="宋体" w:eastAsia="宋体" w:cs="宋体"/>
                              <w:sz w:val="28"/>
                              <w:lang w:val="en-US"/>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height:144pt;width:144pt;mso-position-horizontal:outside;mso-position-horizontal-relative:margin;mso-position-vertical:top;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YYw/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">
              <v:fill on="f" focussize="0,0"/>
              <v:stroke on="f" weight="0.5pt"/>
              <v:imagedata o:title=""/>
              <o:lock v:ext="edit" aspectratio="f"/>
              <v:textbox inset="0mm,0mm,0mm,0mm" style="mso-fit-shape-to-text:t;">
                <w:txbxContent>
                  <w:p>
                    <w:pPr>
                      <w:rPr>
                        <w:rFonts w:hint="eastAsia" w:ascii="宋体" w:hAnsi="宋体" w:eastAsia="宋体" w:cs="宋体"/>
                        <w:sz w:val="28"/>
                        <w:lang w:val="en-US"/>
                      </w:rPr>
                    </w:pPr>
                    <w:r>
                      <w:rPr>
                        <w:rFonts w:hint="eastAsia" w:ascii="宋体" w:hAnsi="宋体" w:eastAsia="宋体" w:cs="宋体"/>
                        <w:sz w:val="28"/>
                        <w:lang w:val="en-US"/>
                      </w:rPr>
                      <w:fldChar w:fldCharType="begin"/>
                    </w:r>
                    <w:r>
                      <w:rPr>
                        <w:rFonts w:hint="eastAsia" w:ascii="宋体" w:hAnsi="宋体" w:eastAsia="宋体" w:cs="宋体"/>
                        <w:sz w:val="28"/>
                        <w:lang w:val="en-US"/>
                      </w:rPr>
                      <w:instrText xml:space="preserve"> PAGE  \* MERGEFORMAT </w:instrText>
                    </w:r>
                    <w:r>
                      <w:rPr>
                        <w:rFonts w:hint="eastAsia" w:ascii="宋体" w:hAnsi="宋体" w:eastAsia="宋体" w:cs="宋体"/>
                        <w:sz w:val="28"/>
                        <w:lang w:val="en-US"/>
                      </w:rPr>
                      <w:fldChar w:fldCharType="separate"/>
                    </w:r>
                    <w:r>
                      <w:rPr>
                        <w:rFonts w:hint="eastAsia" w:ascii="宋体" w:hAnsi="宋体" w:eastAsia="宋体" w:cs="宋体"/>
                        <w:sz w:val="28"/>
                        <w:lang w:val="en-US"/>
                      </w:rPr>
                      <w:t>- 1 -</w:t>
                    </w:r>
                    <w:r>
                      <w:rPr>
                        <w:rFonts w:hint="eastAsia" w:ascii="宋体" w:hAnsi="宋体" w:eastAsia="宋体" w:cs="宋体"/>
                        <w:sz w:val="28"/>
                        <w:lang w:val="en-US"/>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0"/>
  <w:defaultTabStop w:val="420"/>
  <w:drawingGridHorizontalSpacing w:val="210"/>
  <w:drawingGridVerticalSpacing w:val="159"/>
  <w:displayHorizontalDrawingGridEvery w:val="1"/>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FEA383"/>
    <w:rsid w:val="5FC616EC"/>
    <w:rsid w:val="5FFD480D"/>
    <w:rsid w:val="6EF3A116"/>
    <w:rsid w:val="7AF9F628"/>
    <w:rsid w:val="7EFF7E84"/>
    <w:rsid w:val="9F9B1536"/>
    <w:rsid w:val="AEFCEF51"/>
    <w:rsid w:val="BFFEA383"/>
    <w:rsid w:val="DDD59735"/>
    <w:rsid w:val="EDFFDC91"/>
    <w:rsid w:val="F6E152CD"/>
    <w:rsid w:val="F7FB3BD6"/>
    <w:rsid w:val="F97D872F"/>
    <w:rsid w:val="FB5E9251"/>
    <w:rsid w:val="FBFEE2FF"/>
    <w:rsid w:val="FF37C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jc w:val="center"/>
    </w:pPr>
    <w:rPr>
      <w:rFonts w:eastAsia="黑体"/>
      <w:kern w:val="0"/>
      <w:sz w:val="4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NormalIndent"/>
    <w:basedOn w:val="1"/>
    <w:next w:val="1"/>
    <w:qFormat/>
    <w:uiPriority w:val="0"/>
    <w:pPr>
      <w:spacing w:line="240" w:lineRule="auto"/>
      <w:ind w:firstLine="420"/>
      <w:jc w:val="both"/>
      <w:textAlignment w:val="baseline"/>
    </w:pPr>
    <w:rPr>
      <w:rFonts w:ascii="宋体" w:hAnsi="Calibri"/>
      <w:kern w:val="0"/>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2024-11-14T01:13:00Z</dcterms:created>
  <dc:creator>林小仪：处室相关人员阅办</dc:creator>
  <cp:lastModifiedBy>林小仪</cp:lastModifiedBy>
  <cp:lastPrinted>2026-02-15T01:27:00Z</cp:lastPrinted>
  <dcterms:modified xsi:type="dcterms:W3CDTF">2026-02-28T08:30:55Z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98F4B00B3C5003C42837A269CE693DD1</vt:lpwstr>
  </property>
</Properties>
</file>