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cs="Times New Roman"/>
          <w:b/>
          <w:color w:val="FF0000"/>
          <w:w w:val="95"/>
          <w:kern w:val="0"/>
          <w:sz w:val="44"/>
          <w:szCs w:val="116"/>
        </w:rPr>
      </w:pPr>
      <w:bookmarkStart w:id="2" w:name="_GoBack"/>
      <w:bookmarkEnd w:id="2"/>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cs="Times New Roman"/>
          <w:snapToGrid w:val="0"/>
          <w:spacing w:val="85"/>
          <w:w w:val="90"/>
          <w:sz w:val="72"/>
          <w:szCs w:val="72"/>
        </w:rPr>
      </w:pPr>
      <w:r>
        <w:rPr>
          <w:rFonts w:hint="eastAsia" w:ascii="方正小标宋简体" w:hAnsi="方正小标宋简体" w:eastAsia="方正小标宋简体" w:cs="Times New Roman"/>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15"/>
          <w:szCs w:val="15"/>
        </w:rPr>
      </w:pPr>
    </w:p>
    <w:p>
      <w:pPr>
        <w:snapToGrid w:val="0"/>
        <w:spacing w:before="156" w:beforeLines="50" w:line="300" w:lineRule="auto"/>
        <w:jc w:val="center"/>
        <w:rPr>
          <w:rFonts w:ascii="黑体" w:hAnsi="Times New Roman" w:eastAsia="黑体" w:cs="Times New Roman"/>
          <w:color w:val="000000"/>
          <w:spacing w:val="12"/>
          <w:sz w:val="32"/>
          <w:szCs w:val="20"/>
        </w:rPr>
      </w:pPr>
      <w:bookmarkStart w:id="0" w:name="WH"/>
      <w:bookmarkEnd w:id="0"/>
      <w:r>
        <w:rPr>
          <w:rFonts w:hint="eastAsia" w:ascii="仿宋_GB2312" w:hAnsi="Times New Roman" w:eastAsia="仿宋_GB2312" w:cs="Times New Roman"/>
          <w:color w:val="000000"/>
          <w:spacing w:val="12"/>
          <w:sz w:val="28"/>
          <w:szCs w:val="20"/>
        </w:rPr>
        <w:t>〔20</w:t>
      </w:r>
      <w:r>
        <w:rPr>
          <w:rFonts w:hint="default" w:ascii="仿宋_GB2312" w:hAnsi="Times New Roman" w:eastAsia="仿宋_GB2312" w:cs="Times New Roman"/>
          <w:color w:val="000000"/>
          <w:spacing w:val="12"/>
          <w:sz w:val="28"/>
          <w:szCs w:val="20"/>
          <w:lang w:val="en-US"/>
        </w:rPr>
        <w:t>26</w:t>
      </w:r>
      <w:r>
        <w:rPr>
          <w:rFonts w:hint="eastAsia" w:ascii="仿宋_GB2312" w:hAnsi="Times New Roman" w:eastAsia="仿宋_GB2312" w:cs="Times New Roman"/>
          <w:color w:val="000000"/>
          <w:spacing w:val="12"/>
          <w:sz w:val="28"/>
          <w:szCs w:val="20"/>
        </w:rPr>
        <w:t>〕</w:t>
      </w:r>
      <w:r>
        <w:rPr>
          <w:rFonts w:hint="default" w:ascii="仿宋_GB2312" w:hAnsi="Times New Roman" w:eastAsia="仿宋_GB2312" w:cs="Times New Roman"/>
          <w:color w:val="000000"/>
          <w:spacing w:val="12"/>
          <w:sz w:val="28"/>
          <w:szCs w:val="20"/>
          <w:lang w:val="en-US"/>
        </w:rPr>
        <w:t>27</w:t>
      </w:r>
      <w:r>
        <w:rPr>
          <w:rFonts w:hint="eastAsia" w:ascii="仿宋_GB2312" w:hAnsi="Times New Roman" w:eastAsia="仿宋_GB2312" w:cs="Times New Roman"/>
          <w:color w:val="000000"/>
          <w:spacing w:val="12"/>
          <w:sz w:val="28"/>
          <w:szCs w:val="20"/>
        </w:rPr>
        <w:t>号</w:t>
      </w:r>
    </w:p>
    <w:p>
      <w:pPr>
        <w:snapToGrid w:val="0"/>
        <w:jc w:val="center"/>
        <w:rPr>
          <w:rFonts w:hint="eastAsia" w:ascii="仿宋_GB2312" w:hAnsi="仿宋_GB2312" w:eastAsia="仿宋_GB2312" w:cs="Times New Roman"/>
          <w:sz w:val="28"/>
          <w:szCs w:val="28"/>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">
                <v:fill on="f" focussize="0,0"/>
                <v:stroke weight="1pt" color="#FF0000" joinstyle="round"/>
                <v:imagedata o:title=""/>
                <o:lock v:ext="edit" aspectratio="f"/>
              </v:line>
            </w:pict>
          </mc:Fallback>
        </mc:AlternateContent>
      </w:r>
    </w:p>
    <w:p>
      <w:pPr>
        <w:jc w:val="center"/>
        <w:rPr>
          <w:rFonts w:hint="eastAsia" w:ascii="Times New Roman" w:hAnsi="Times New Roman" w:eastAsia="宋体" w:cs="Times New Roman"/>
          <w:sz w:val="20"/>
          <w:szCs w:val="20"/>
        </w:rPr>
      </w:pPr>
    </w:p>
    <w:p>
      <w:pPr>
        <w:overflowPunct w:val="0"/>
        <w:snapToGrid w:val="0"/>
        <w:spacing w:beforeLines="0" w:afterLines="0" w:line="216" w:lineRule="auto"/>
        <w:ind w:left="0" w:leftChars="0" w:right="0" w:rightChars="0" w:firstLine="0" w:firstLineChars="0"/>
        <w:jc w:val="center"/>
        <w:rPr>
          <w:rFonts w:hint="eastAsia" w:ascii="方正小标宋简体" w:hAnsi="方正小标宋简体" w:eastAsia="方正小标宋简体" w:cs="方正小标宋简体"/>
          <w:color w:val="000000"/>
          <w:sz w:val="44"/>
        </w:rPr>
      </w:pPr>
      <w:bookmarkStart w:id="1" w:name="quanwen"/>
      <w:r>
        <w:rPr>
          <w:rFonts w:hint="eastAsia" w:ascii="方正小标宋简体" w:hAnsi="方正小标宋简体" w:eastAsia="方正小标宋简体" w:cs="方正小标宋简体"/>
          <w:color w:val="000000"/>
          <w:sz w:val="44"/>
          <w:lang w:eastAsia="zh-CN"/>
        </w:rPr>
        <w:t>关于对</w:t>
      </w:r>
      <w:r>
        <w:rPr>
          <w:rFonts w:hint="eastAsia" w:ascii="方正小标宋简体" w:hAnsi="方正小标宋简体" w:eastAsia="方正小标宋简体" w:cs="方正小标宋简体"/>
          <w:color w:val="000000"/>
          <w:sz w:val="44"/>
        </w:rPr>
        <w:t>慧研智投科技有限公司广州分公司</w:t>
      </w:r>
    </w:p>
    <w:p>
      <w:pPr>
        <w:overflowPunct w:val="0"/>
        <w:snapToGrid w:val="0"/>
        <w:spacing w:beforeLines="0" w:afterLines="0" w:line="216" w:lineRule="auto"/>
        <w:ind w:left="0" w:leftChars="0" w:right="0" w:rightChars="0" w:firstLine="0" w:firstLineChars="0"/>
        <w:jc w:val="center"/>
        <w:rPr>
          <w:rFonts w:hint="eastAsia" w:ascii="方正小标宋简体" w:hAnsi="方正小标宋简体" w:eastAsia="方正小标宋简体" w:cs="方正小标宋简体"/>
          <w:color w:val="000000"/>
          <w:sz w:val="44"/>
          <w:lang w:eastAsia="zh-CN"/>
        </w:rPr>
      </w:pPr>
      <w:r>
        <w:rPr>
          <w:rFonts w:hint="eastAsia" w:ascii="方正小标宋简体" w:hAnsi="方正小标宋简体" w:eastAsia="方正小标宋简体" w:cs="方正小标宋简体"/>
          <w:color w:val="000000"/>
          <w:sz w:val="44"/>
          <w:lang w:eastAsia="zh-CN"/>
        </w:rPr>
        <w:t>采取责令增加内部合规检查次数并提交</w:t>
      </w:r>
    </w:p>
    <w:p>
      <w:pPr>
        <w:overflowPunct w:val="0"/>
        <w:snapToGrid w:val="0"/>
        <w:spacing w:beforeLines="0" w:afterLines="0" w:line="216" w:lineRule="auto"/>
        <w:ind w:left="0" w:leftChars="0" w:right="0" w:rightChars="0" w:firstLine="0" w:firstLineChars="0"/>
        <w:jc w:val="center"/>
        <w:rPr>
          <w:rFonts w:hint="eastAsia" w:ascii="方正小标宋简体" w:hAnsi="方正小标宋简体" w:eastAsia="方正小标宋简体" w:cs="方正小标宋简体"/>
          <w:sz w:val="44"/>
          <w:lang w:eastAsia="zh-CN"/>
        </w:rPr>
      </w:pPr>
      <w:r>
        <w:rPr>
          <w:rFonts w:hint="eastAsia" w:ascii="方正小标宋简体" w:hAnsi="方正小标宋简体" w:eastAsia="方正小标宋简体" w:cs="方正小标宋简体"/>
          <w:color w:val="000000"/>
          <w:sz w:val="44"/>
          <w:lang w:eastAsia="zh-CN"/>
        </w:rPr>
        <w:t>合规检查报告措施的决定</w:t>
      </w:r>
    </w:p>
    <w:p>
      <w:pPr>
        <w:widowControl w:val="0"/>
        <w:overflowPunct w:val="0"/>
        <w:autoSpaceDN/>
        <w:snapToGrid w:val="0"/>
        <w:spacing w:beforeLines="0" w:afterLines="0" w:line="240" w:lineRule="auto"/>
        <w:jc w:val="both"/>
        <w:rPr>
          <w:rFonts w:hint="eastAsia" w:ascii="方正小标宋简体" w:hAnsi="方正小标宋简体" w:eastAsia="方正小标宋简体" w:cs="方正小标宋简体"/>
          <w:color w:val="000000"/>
          <w:kern w:val="0"/>
          <w:sz w:val="24"/>
          <w:szCs w:val="24"/>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12" w:lineRule="auto"/>
        <w:ind w:left="0" w:leftChars="0" w:right="0" w:rightChars="0"/>
        <w:jc w:val="both"/>
        <w:textAlignment w:val="auto"/>
        <w:rPr>
          <w:rFonts w:hint="eastAsia" w:ascii="仿宋_GB2312" w:hAnsi="仿宋_GB2312" w:eastAsia="仿宋_GB2312" w:cs="Times New Roman"/>
          <w:color w:val="000000"/>
          <w:kern w:val="0"/>
          <w:sz w:val="32"/>
          <w:szCs w:val="32"/>
          <w:lang w:val="en-US" w:eastAsia="zh-CN" w:bidi="ar-SA"/>
        </w:rPr>
      </w:pPr>
      <w:r>
        <w:rPr>
          <w:rFonts w:hint="eastAsia" w:ascii="仿宋_GB2312" w:hAnsi="Times New Roman" w:eastAsia="仿宋_GB2312" w:cs="Times New Roman"/>
          <w:color w:val="000000"/>
          <w:kern w:val="0"/>
          <w:sz w:val="32"/>
          <w:szCs w:val="32"/>
          <w:lang w:val="en-US" w:eastAsia="zh-CN" w:bidi="ar-SA"/>
        </w:rPr>
        <w:t>慧研智投科技有限公司广州分公司</w:t>
      </w:r>
      <w:r>
        <w:rPr>
          <w:rFonts w:hint="eastAsia" w:ascii="仿宋_GB2312" w:hAnsi="仿宋_GB2312" w:eastAsia="仿宋_GB2312" w:cs="Times New Roman"/>
          <w:color w:val="000000"/>
          <w:kern w:val="0"/>
          <w:sz w:val="32"/>
          <w:szCs w:val="32"/>
          <w:lang w:val="en-US" w:eastAsia="zh-CN" w:bidi="ar-SA"/>
        </w:rPr>
        <w:t>：</w:t>
      </w:r>
    </w:p>
    <w:p>
      <w:pPr>
        <w:keepNext w:val="0"/>
        <w:keepLines w:val="0"/>
        <w:pageBreakBefore w:val="0"/>
        <w:kinsoku/>
        <w:wordWrap/>
        <w:overflowPunct w:val="0"/>
        <w:topLinePunct w:val="0"/>
        <w:autoSpaceDE/>
        <w:bidi w:val="0"/>
        <w:adjustRightInd w:val="0"/>
        <w:snapToGrid w:val="0"/>
        <w:spacing w:before="0" w:beforeLines="0" w:after="0" w:afterLines="0" w:line="312" w:lineRule="auto"/>
        <w:ind w:left="0" w:leftChars="0" w:right="0" w:rightChars="0" w:firstLine="640"/>
        <w:jc w:val="both"/>
        <w:textAlignment w:val="auto"/>
        <w:outlineLvl w:val="0"/>
        <w:rPr>
          <w:rFonts w:hint="eastAsia" w:ascii="仿宋_GB2312" w:hAnsi="仿宋_GB2312" w:eastAsia="仿宋_GB2312" w:cs="Times New Roman"/>
          <w:color w:val="000000"/>
          <w:kern w:val="0"/>
          <w:sz w:val="32"/>
          <w:szCs w:val="32"/>
          <w:highlight w:val="none"/>
        </w:rPr>
      </w:pPr>
      <w:r>
        <w:rPr>
          <w:rFonts w:hint="eastAsia" w:ascii="仿宋_GB2312" w:hAnsi="仿宋_GB2312" w:eastAsia="仿宋_GB2312" w:cs="Times New Roman"/>
          <w:color w:val="000000"/>
          <w:kern w:val="0"/>
          <w:sz w:val="32"/>
          <w:szCs w:val="32"/>
          <w:lang w:eastAsia="zh-CN"/>
        </w:rPr>
        <w:t>经查，</w:t>
      </w:r>
      <w:r>
        <w:rPr>
          <w:rFonts w:hint="eastAsia" w:ascii="仿宋_GB2312" w:hAnsi="仿宋_GB2312" w:eastAsia="仿宋_GB2312" w:cs="Times New Roman"/>
          <w:color w:val="000000"/>
          <w:kern w:val="0"/>
          <w:sz w:val="32"/>
          <w:szCs w:val="32"/>
        </w:rPr>
        <w:t>你公司在开展证券投资</w:t>
      </w:r>
      <w:r>
        <w:rPr>
          <w:rFonts w:hint="eastAsia" w:ascii="仿宋_GB2312" w:hAnsi="仿宋_GB2312" w:eastAsia="仿宋_GB2312" w:cs="Times New Roman"/>
          <w:color w:val="000000"/>
          <w:kern w:val="0"/>
          <w:sz w:val="32"/>
          <w:szCs w:val="32"/>
          <w:highlight w:val="none"/>
        </w:rPr>
        <w:t>顾问业务中存在以下违规行为：</w:t>
      </w:r>
      <w:r>
        <w:rPr>
          <w:rFonts w:hint="eastAsia" w:ascii="仿宋_GB2312" w:hAnsi="仿宋_GB2312" w:eastAsia="仿宋_GB2312" w:cs="Times New Roman"/>
          <w:b/>
          <w:bCs/>
          <w:color w:val="000000"/>
          <w:kern w:val="0"/>
          <w:sz w:val="32"/>
          <w:szCs w:val="32"/>
          <w:highlight w:val="none"/>
        </w:rPr>
        <w:t>一是</w:t>
      </w:r>
      <w:r>
        <w:rPr>
          <w:rFonts w:hint="eastAsia" w:ascii="仿宋_GB2312" w:hAnsi="仿宋_GB2312" w:eastAsia="仿宋_GB2312" w:cs="Times New Roman"/>
          <w:color w:val="000000"/>
          <w:kern w:val="0"/>
          <w:sz w:val="32"/>
          <w:szCs w:val="32"/>
          <w:highlight w:val="none"/>
        </w:rPr>
        <w:t>投顾服务和合规管理留痕不全。</w:t>
      </w:r>
      <w:r>
        <w:rPr>
          <w:rFonts w:hint="eastAsia" w:ascii="仿宋_GB2312" w:hAnsi="仿宋_GB2312" w:eastAsia="仿宋_GB2312" w:cs="Times New Roman"/>
          <w:b/>
          <w:bCs/>
          <w:color w:val="000000"/>
          <w:kern w:val="0"/>
          <w:sz w:val="32"/>
          <w:szCs w:val="32"/>
          <w:highlight w:val="none"/>
        </w:rPr>
        <w:t>二是</w:t>
      </w:r>
      <w:r>
        <w:rPr>
          <w:rFonts w:hint="eastAsia" w:ascii="仿宋_GB2312" w:hAnsi="仿宋_GB2312" w:eastAsia="仿宋_GB2312" w:cs="Times New Roman"/>
          <w:color w:val="000000"/>
          <w:kern w:val="0"/>
          <w:sz w:val="32"/>
          <w:szCs w:val="32"/>
          <w:highlight w:val="none"/>
        </w:rPr>
        <w:t>个别证券投资顾问人员开展网络直播活动时对市场走势进行确定性判断、对个股作出具体投资建议和未展示证券投资顾问的姓名及登记编号。</w:t>
      </w:r>
      <w:r>
        <w:rPr>
          <w:rFonts w:hint="eastAsia" w:ascii="仿宋_GB2312" w:hAnsi="仿宋_GB2312" w:eastAsia="仿宋_GB2312" w:cs="Times New Roman"/>
          <w:b/>
          <w:bCs/>
          <w:color w:val="000000"/>
          <w:kern w:val="0"/>
          <w:sz w:val="32"/>
          <w:szCs w:val="32"/>
          <w:highlight w:val="none"/>
        </w:rPr>
        <w:t>三是</w:t>
      </w:r>
      <w:r>
        <w:rPr>
          <w:rFonts w:hint="eastAsia" w:ascii="仿宋_GB2312" w:hAnsi="仿宋_GB2312" w:eastAsia="仿宋_GB2312" w:cs="Times New Roman"/>
          <w:color w:val="000000"/>
          <w:kern w:val="0"/>
          <w:sz w:val="32"/>
          <w:szCs w:val="32"/>
          <w:highlight w:val="none"/>
        </w:rPr>
        <w:t>个别未在中国证券业协会注册登记为证券投资顾问的员工向客户提供投资建议。</w:t>
      </w:r>
      <w:r>
        <w:rPr>
          <w:rFonts w:hint="eastAsia" w:ascii="仿宋_GB2312" w:hAnsi="仿宋_GB2312" w:eastAsia="仿宋_GB2312" w:cs="Times New Roman"/>
          <w:b/>
          <w:bCs/>
          <w:color w:val="000000"/>
          <w:kern w:val="0"/>
          <w:sz w:val="32"/>
          <w:szCs w:val="32"/>
          <w:highlight w:val="none"/>
        </w:rPr>
        <w:t>四是</w:t>
      </w:r>
      <w:r>
        <w:rPr>
          <w:rFonts w:hint="eastAsia" w:ascii="仿宋_GB2312" w:hAnsi="仿宋_GB2312" w:eastAsia="仿宋_GB2312" w:cs="Times New Roman"/>
          <w:color w:val="000000"/>
          <w:kern w:val="0"/>
          <w:sz w:val="32"/>
          <w:szCs w:val="32"/>
          <w:highlight w:val="none"/>
        </w:rPr>
        <w:t>适当性管理不到位，未审慎评估客户的经济状况和风险承受能力。</w:t>
      </w:r>
      <w:r>
        <w:rPr>
          <w:rFonts w:hint="eastAsia" w:ascii="仿宋_GB2312" w:hAnsi="仿宋_GB2312" w:eastAsia="仿宋_GB2312" w:cs="Times New Roman"/>
          <w:b/>
          <w:bCs/>
          <w:color w:val="000000"/>
          <w:kern w:val="0"/>
          <w:sz w:val="32"/>
          <w:szCs w:val="32"/>
          <w:highlight w:val="none"/>
        </w:rPr>
        <w:t>五是</w:t>
      </w:r>
      <w:r>
        <w:rPr>
          <w:rFonts w:hint="eastAsia" w:ascii="仿宋_GB2312" w:hAnsi="仿宋_GB2312" w:eastAsia="仿宋_GB2312" w:cs="Times New Roman"/>
          <w:color w:val="000000"/>
          <w:kern w:val="0"/>
          <w:sz w:val="32"/>
          <w:szCs w:val="32"/>
          <w:highlight w:val="none"/>
        </w:rPr>
        <w:t>服务承诺与实际情况不符。</w:t>
      </w:r>
    </w:p>
    <w:p>
      <w:pPr>
        <w:keepNext w:val="0"/>
        <w:keepLines w:val="0"/>
        <w:pageBreakBefore w:val="0"/>
        <w:kinsoku/>
        <w:wordWrap/>
        <w:overflowPunct w:val="0"/>
        <w:topLinePunct w:val="0"/>
        <w:autoSpaceDE/>
        <w:bidi w:val="0"/>
        <w:adjustRightInd w:val="0"/>
        <w:snapToGrid w:val="0"/>
        <w:spacing w:before="0" w:beforeLines="0" w:after="0" w:afterLines="0" w:line="312" w:lineRule="auto"/>
        <w:ind w:left="0" w:leftChars="0" w:right="0" w:rightChars="0" w:firstLine="640"/>
        <w:jc w:val="both"/>
        <w:textAlignment w:val="auto"/>
        <w:outlineLvl w:val="0"/>
        <w:rPr>
          <w:rFonts w:hint="eastAsia" w:ascii="仿宋_GB2312" w:hAnsi="仿宋_GB2312" w:eastAsia="仿宋_GB2312" w:cs="Times New Roman"/>
          <w:color w:val="000000"/>
          <w:kern w:val="0"/>
          <w:sz w:val="32"/>
          <w:szCs w:val="32"/>
          <w:highlight w:val="none"/>
        </w:rPr>
      </w:pPr>
      <w:r>
        <w:rPr>
          <w:rFonts w:hint="eastAsia" w:ascii="仿宋_GB2312" w:hAnsi="仿宋_GB2312" w:eastAsia="仿宋_GB2312" w:cs="Times New Roman"/>
          <w:color w:val="000000"/>
          <w:kern w:val="0"/>
          <w:sz w:val="32"/>
          <w:szCs w:val="32"/>
          <w:highlight w:val="none"/>
        </w:rPr>
        <w:t>上述行为违反了《证券期货投资者适当性管理办法》</w:t>
      </w:r>
      <w:r>
        <w:rPr>
          <w:rFonts w:hint="eastAsia" w:ascii="仿宋_GB2312" w:hAnsi="仿宋_GB2312" w:eastAsia="仿宋_GB2312" w:cs="Times New Roman"/>
          <w:color w:val="000000"/>
          <w:kern w:val="0"/>
          <w:sz w:val="32"/>
          <w:szCs w:val="32"/>
          <w:highlight w:val="none"/>
          <w:lang w:eastAsia="zh-CN"/>
        </w:rPr>
        <w:t>（证监会令第130号，以下简称《适当性管理办法》）</w:t>
      </w:r>
      <w:r>
        <w:rPr>
          <w:rFonts w:hint="eastAsia" w:ascii="仿宋_GB2312" w:hAnsi="仿宋_GB2312" w:eastAsia="仿宋_GB2312" w:cs="Times New Roman"/>
          <w:color w:val="000000"/>
          <w:kern w:val="0"/>
          <w:sz w:val="32"/>
          <w:szCs w:val="32"/>
          <w:highlight w:val="none"/>
        </w:rPr>
        <w:t>第三条，以及《证券投资顾问业务暂行规定》</w:t>
      </w:r>
      <w:r>
        <w:rPr>
          <w:rFonts w:hint="eastAsia" w:ascii="仿宋_GB2312" w:hAnsi="仿宋_GB2312" w:eastAsia="仿宋_GB2312" w:cs="Times New Roman"/>
          <w:color w:val="000000"/>
          <w:kern w:val="0"/>
          <w:sz w:val="32"/>
          <w:szCs w:val="32"/>
          <w:highlight w:val="none"/>
          <w:lang w:eastAsia="zh-CN"/>
        </w:rPr>
        <w:t>（证监会公告〔2020〕66号，以下简称《投顾业务暂行规定》）</w:t>
      </w:r>
      <w:r>
        <w:rPr>
          <w:rFonts w:hint="eastAsia" w:ascii="仿宋_GB2312" w:hAnsi="仿宋_GB2312" w:eastAsia="仿宋_GB2312" w:cs="Times New Roman"/>
          <w:color w:val="000000"/>
          <w:kern w:val="0"/>
          <w:sz w:val="32"/>
          <w:szCs w:val="32"/>
          <w:highlight w:val="none"/>
        </w:rPr>
        <w:t>第七条、第十二条第一款第二项、第二十四条、第二十七条、第三十一条的规定。事先告知后，你公司</w:t>
      </w:r>
      <w:r>
        <w:rPr>
          <w:rFonts w:hint="eastAsia" w:ascii="仿宋_GB2312" w:hAnsi="仿宋_GB2312" w:eastAsia="仿宋_GB2312" w:cs="Times New Roman"/>
          <w:color w:val="000000"/>
          <w:kern w:val="0"/>
          <w:sz w:val="32"/>
          <w:szCs w:val="32"/>
          <w:highlight w:val="none"/>
          <w:lang w:eastAsia="zh-CN"/>
        </w:rPr>
        <w:t>未</w:t>
      </w:r>
      <w:r>
        <w:rPr>
          <w:rFonts w:hint="eastAsia" w:ascii="仿宋_GB2312" w:hAnsi="仿宋_GB2312" w:eastAsia="仿宋_GB2312" w:cs="Times New Roman"/>
          <w:color w:val="000000"/>
          <w:kern w:val="0"/>
          <w:sz w:val="32"/>
          <w:szCs w:val="32"/>
          <w:highlight w:val="none"/>
        </w:rPr>
        <w:t>提出陈述申辩。</w:t>
      </w:r>
    </w:p>
    <w:p>
      <w:pPr>
        <w:keepNext w:val="0"/>
        <w:keepLines w:val="0"/>
        <w:pageBreakBefore w:val="0"/>
        <w:kinsoku/>
        <w:wordWrap/>
        <w:overflowPunct w:val="0"/>
        <w:topLinePunct w:val="0"/>
        <w:autoSpaceDE/>
        <w:bidi w:val="0"/>
        <w:adjustRightInd w:val="0"/>
        <w:snapToGrid w:val="0"/>
        <w:spacing w:before="0" w:beforeLines="0" w:after="0" w:afterLines="0" w:line="312" w:lineRule="auto"/>
        <w:ind w:left="0" w:leftChars="0" w:right="0" w:rightChars="0" w:firstLine="640"/>
        <w:jc w:val="both"/>
        <w:textAlignment w:val="auto"/>
        <w:outlineLvl w:val="0"/>
        <w:rPr>
          <w:rFonts w:hint="eastAsia" w:ascii="仿宋_GB2312" w:hAnsi="仿宋_GB2312" w:eastAsia="仿宋_GB2312" w:cs="Times New Roman"/>
          <w:color w:val="000000"/>
          <w:kern w:val="0"/>
          <w:sz w:val="32"/>
          <w:szCs w:val="32"/>
          <w:highlight w:val="none"/>
        </w:rPr>
      </w:pPr>
      <w:r>
        <w:rPr>
          <w:rFonts w:hint="eastAsia" w:ascii="仿宋_GB2312" w:hAnsi="仿宋_GB2312" w:eastAsia="仿宋_GB2312" w:cs="Times New Roman"/>
          <w:color w:val="000000"/>
          <w:kern w:val="0"/>
          <w:sz w:val="32"/>
          <w:szCs w:val="32"/>
          <w:highlight w:val="none"/>
        </w:rPr>
        <w:t>根据《</w:t>
      </w:r>
      <w:r>
        <w:rPr>
          <w:rFonts w:hint="eastAsia" w:ascii="仿宋_GB2312" w:hAnsi="仿宋_GB2312" w:eastAsia="仿宋_GB2312" w:cs="Times New Roman"/>
          <w:color w:val="000000"/>
          <w:kern w:val="0"/>
          <w:sz w:val="32"/>
          <w:szCs w:val="32"/>
          <w:highlight w:val="none"/>
          <w:lang w:eastAsia="zh-CN"/>
        </w:rPr>
        <w:t>中华人民共和国</w:t>
      </w:r>
      <w:r>
        <w:rPr>
          <w:rFonts w:hint="eastAsia" w:ascii="仿宋_GB2312" w:hAnsi="仿宋_GB2312" w:eastAsia="仿宋_GB2312" w:cs="Times New Roman"/>
          <w:color w:val="000000"/>
          <w:kern w:val="0"/>
          <w:sz w:val="32"/>
          <w:szCs w:val="32"/>
          <w:highlight w:val="none"/>
        </w:rPr>
        <w:t>证券法》第一百七十条第二款、《适当性管理办法》第三十七条、《投顾业务暂行规定》第三十二条的规定，我局</w:t>
      </w:r>
      <w:r>
        <w:rPr>
          <w:rFonts w:hint="eastAsia" w:ascii="仿宋_GB2312" w:hAnsi="仿宋_GB2312" w:eastAsia="仿宋_GB2312" w:cs="Times New Roman"/>
          <w:color w:val="000000"/>
          <w:kern w:val="0"/>
          <w:sz w:val="32"/>
          <w:szCs w:val="32"/>
          <w:highlight w:val="none"/>
          <w:lang w:eastAsia="zh-CN"/>
        </w:rPr>
        <w:t>决定</w:t>
      </w:r>
      <w:r>
        <w:rPr>
          <w:rFonts w:hint="eastAsia" w:ascii="仿宋_GB2312" w:hAnsi="仿宋_GB2312" w:eastAsia="仿宋_GB2312" w:cs="Times New Roman"/>
          <w:color w:val="000000"/>
          <w:kern w:val="0"/>
          <w:sz w:val="32"/>
          <w:szCs w:val="32"/>
          <w:highlight w:val="none"/>
        </w:rPr>
        <w:t>对你公司采取责令增加内部合规检查次数并提交合规检查报告的行政监管措施。</w:t>
      </w:r>
    </w:p>
    <w:p>
      <w:pPr>
        <w:keepNext w:val="0"/>
        <w:keepLines w:val="0"/>
        <w:pageBreakBefore w:val="0"/>
        <w:kinsoku/>
        <w:wordWrap/>
        <w:overflowPunct w:val="0"/>
        <w:topLinePunct w:val="0"/>
        <w:autoSpaceDE/>
        <w:bidi w:val="0"/>
        <w:adjustRightInd w:val="0"/>
        <w:snapToGrid w:val="0"/>
        <w:spacing w:before="0" w:beforeLines="0" w:after="0" w:afterLines="0" w:line="312" w:lineRule="auto"/>
        <w:ind w:left="0" w:leftChars="0" w:right="0" w:rightChars="0" w:firstLine="640"/>
        <w:jc w:val="both"/>
        <w:textAlignment w:val="auto"/>
        <w:outlineLvl w:val="0"/>
        <w:rPr>
          <w:rFonts w:hint="eastAsia" w:ascii="仿宋_GB2312" w:hAnsi="仿宋_GB2312" w:eastAsia="仿宋_GB2312" w:cs="Times New Roman"/>
          <w:color w:val="000000"/>
          <w:kern w:val="0"/>
          <w:sz w:val="32"/>
          <w:szCs w:val="32"/>
        </w:rPr>
      </w:pPr>
      <w:r>
        <w:rPr>
          <w:rFonts w:hint="eastAsia" w:ascii="仿宋_GB2312" w:hAnsi="仿宋_GB2312" w:eastAsia="仿宋_GB2312" w:cs="Times New Roman"/>
          <w:color w:val="000000"/>
          <w:kern w:val="0"/>
          <w:sz w:val="32"/>
          <w:szCs w:val="32"/>
          <w:highlight w:val="none"/>
        </w:rPr>
        <w:t>责令你公司在本行政监管措施决定下发之日起6个月内，每月开展一次内部合规检查，全面检查公司合规管理制度的建立情况、经营管理行为的合规性和规范整改工作的落实情况，及时发现违法违规行</w:t>
      </w:r>
      <w:r>
        <w:rPr>
          <w:rFonts w:hint="eastAsia" w:ascii="仿宋_GB2312" w:hAnsi="仿宋_GB2312" w:eastAsia="仿宋_GB2312" w:cs="Times New Roman"/>
          <w:color w:val="000000"/>
          <w:kern w:val="0"/>
          <w:sz w:val="32"/>
          <w:szCs w:val="32"/>
        </w:rPr>
        <w:t>为或风险隐患并予以改正或消除，根据检查情况切实完善管理制度和内部控制措施，并在每次检查后10个工作日内向我局报送合规检查报告。</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jc w:val="both"/>
        <w:textAlignment w:val="auto"/>
        <w:rPr>
          <w:rFonts w:ascii="宋体" w:hAnsi="宋体" w:eastAsia="宋体" w:cs="宋体"/>
          <w:color w:val="000000"/>
          <w:sz w:val="24"/>
          <w:szCs w:val="24"/>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Times New Roman"/>
          <w:color w:val="000000"/>
          <w:kern w:val="0"/>
          <w:sz w:val="32"/>
          <w:szCs w:val="32"/>
        </w:rPr>
        <w:t>如果对本监督管理措施不服，可在收到本决定书之日起60日内向中国证券监督管理委员会提出行政复议申请，也可以在收到本决定书之日起6个月内向有管辖权的人民法院提起诉讼。复议与诉讼期间，上述监督管理措施不停止执行。</w:t>
      </w:r>
    </w:p>
    <w:p>
      <w:pPr>
        <w:keepNext w:val="0"/>
        <w:keepLines w:val="0"/>
        <w:pageBreakBefore w:val="0"/>
        <w:widowControl w:val="0"/>
        <w:kinsoku/>
        <w:wordWrap/>
        <w:overflowPunct w:val="0"/>
        <w:topLinePunct w:val="0"/>
        <w:autoSpaceDE/>
        <w:autoSpaceDN/>
        <w:bidi w:val="0"/>
        <w:adjustRightInd w:val="0"/>
        <w:snapToGrid w:val="0"/>
        <w:spacing w:line="336" w:lineRule="auto"/>
        <w:jc w:val="left"/>
        <w:textAlignment w:val="auto"/>
        <w:rPr>
          <w:rFonts w:ascii="宋体" w:hAnsi="宋体" w:eastAsia="宋体" w:cs="宋体"/>
          <w:color w:val="000000"/>
          <w:sz w:val="24"/>
          <w:szCs w:val="24"/>
        </w:rPr>
      </w:pPr>
    </w:p>
    <w:p>
      <w:pPr>
        <w:keepNext w:val="0"/>
        <w:keepLines w:val="0"/>
        <w:pageBreakBefore w:val="0"/>
        <w:widowControl w:val="0"/>
        <w:kinsoku/>
        <w:wordWrap/>
        <w:overflowPunct w:val="0"/>
        <w:topLinePunct w:val="0"/>
        <w:autoSpaceDE/>
        <w:autoSpaceDN/>
        <w:bidi w:val="0"/>
        <w:adjustRightInd w:val="0"/>
        <w:snapToGrid w:val="0"/>
        <w:spacing w:line="336" w:lineRule="auto"/>
        <w:jc w:val="left"/>
        <w:textAlignment w:val="auto"/>
        <w:rPr>
          <w:rFonts w:ascii="宋体" w:hAnsi="宋体" w:eastAsia="宋体" w:cs="宋体"/>
          <w:color w:val="000000"/>
          <w:sz w:val="24"/>
          <w:szCs w:val="24"/>
        </w:rPr>
      </w:pPr>
    </w:p>
    <w:p>
      <w:pPr>
        <w:overflowPunct w:val="0"/>
        <w:adjustRightInd w:val="0"/>
        <w:snapToGrid w:val="0"/>
        <w:spacing w:line="336" w:lineRule="auto"/>
        <w:ind w:right="1705"/>
        <w:jc w:val="right"/>
        <w:rPr>
          <w:rFonts w:hint="eastAsia" w:ascii="仿宋_GB2312" w:hAnsi="Times New Roman" w:eastAsia="仿宋_GB2312" w:cs="Times New Roman"/>
          <w:color w:val="000000"/>
          <w:sz w:val="32"/>
          <w:szCs w:val="20"/>
        </w:rPr>
      </w:pPr>
      <w:r>
        <w:rPr>
          <w:rFonts w:hint="eastAsia" w:ascii="仿宋_GB2312" w:hAnsi="Times New Roman" w:eastAsia="仿宋_GB2312" w:cs="Times New Roman"/>
          <w:color w:val="000000"/>
          <w:sz w:val="32"/>
          <w:szCs w:val="20"/>
        </w:rPr>
        <w:t>广东证监局</w:t>
      </w:r>
    </w:p>
    <w:p>
      <w:pPr>
        <w:numPr>
          <w:ilvl w:val="0"/>
          <w:numId w:val="0"/>
        </w:numPr>
        <w:pBdr>
          <w:top w:val="none" w:color="auto" w:sz="0" w:space="0"/>
          <w:bottom w:val="none" w:color="auto" w:sz="0" w:space="0"/>
        </w:pBdr>
        <w:overflowPunct w:val="0"/>
        <w:adjustRightInd w:val="0"/>
        <w:snapToGrid w:val="0"/>
        <w:spacing w:beforeLines="0" w:afterLines="0" w:line="336" w:lineRule="auto"/>
        <w:jc w:val="center"/>
        <w:outlineLvl w:val="9"/>
        <w:rPr>
          <w:rFonts w:ascii="Calibri" w:hAnsi="Calibri" w:eastAsia="宋体" w:cs="Times New Roman"/>
          <w:szCs w:val="24"/>
        </w:rPr>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026</w:t>
      </w:r>
      <w:r>
        <w:rPr>
          <w:rFonts w:hint="eastAsia" w:ascii="仿宋_GB2312" w:hAnsi="Times New Roman" w:eastAsia="仿宋_GB2312" w:cs="Times New Roman"/>
          <w:color w:val="000000"/>
          <w:spacing w:val="10"/>
          <w:sz w:val="32"/>
          <w:szCs w:val="32"/>
        </w:rPr>
        <w:t>年</w:t>
      </w:r>
      <w:r>
        <w:rPr>
          <w:rFonts w:hint="default" w:ascii="仿宋_GB2312" w:hAnsi="Times New Roman" w:eastAsia="仿宋_GB2312" w:cs="Times New Roman"/>
          <w:color w:val="000000"/>
          <w:spacing w:val="10"/>
          <w:sz w:val="32"/>
          <w:szCs w:val="32"/>
          <w:lang w:val="en-US" w:eastAsia="zh-CN"/>
        </w:rPr>
        <w:t>2</w:t>
      </w:r>
      <w:r>
        <w:rPr>
          <w:rFonts w:hint="eastAsia" w:ascii="仿宋_GB2312" w:hAnsi="Times New Roman" w:eastAsia="仿宋_GB2312" w:cs="Times New Roman"/>
          <w:color w:val="000000"/>
          <w:spacing w:val="10"/>
          <w:sz w:val="32"/>
          <w:szCs w:val="32"/>
        </w:rPr>
        <w:t>月</w:t>
      </w:r>
      <w:r>
        <w:rPr>
          <w:rFonts w:hint="default" w:ascii="仿宋_GB2312" w:hAnsi="Times New Roman" w:eastAsia="仿宋_GB2312" w:cs="Times New Roman"/>
          <w:color w:val="000000"/>
          <w:spacing w:val="10"/>
          <w:sz w:val="32"/>
          <w:szCs w:val="32"/>
          <w:lang w:val="en-US" w:eastAsia="zh-CN"/>
        </w:rPr>
        <w:t>13</w:t>
      </w:r>
      <w:r>
        <w:rPr>
          <w:rFonts w:hint="eastAsia" w:ascii="仿宋_GB2312" w:hAnsi="Times New Roman" w:eastAsia="仿宋_GB2312" w:cs="Times New Roman"/>
          <w:color w:val="000000"/>
          <w:spacing w:val="10"/>
          <w:sz w:val="32"/>
          <w:szCs w:val="32"/>
        </w:rPr>
        <w:t>日</w:t>
      </w:r>
    </w:p>
    <w:p>
      <w:pPr>
        <w:snapToGrid w:val="0"/>
        <w:spacing w:line="300" w:lineRule="auto"/>
        <w:ind w:right="26"/>
        <w:jc w:val="left"/>
        <w:rPr>
          <w:rFonts w:hint="eastAsia" w:ascii="黑体" w:hAnsi="Times New Roman" w:eastAsia="黑体" w:cs="Times New Roman"/>
          <w:spacing w:val="8"/>
          <w:sz w:val="28"/>
          <w:szCs w:val="18"/>
        </w:rPr>
      </w:pP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296" w:firstLineChars="100"/>
        <w:textAlignment w:val="auto"/>
        <w:rPr>
          <w:rFonts w:ascii="长城仿宋" w:hAnsi="Times New Roman" w:eastAsia="长城仿宋" w:cs="Times New Roman"/>
          <w:sz w:val="28"/>
        </w:rPr>
      </w:pPr>
      <w:r>
        <w:rPr>
          <w:rFonts w:hint="eastAsia" w:ascii="仿宋_GB2312" w:hAnsi="Times New Roman" w:eastAsia="仿宋_GB2312" w:cs="Times New Roman"/>
          <w:spacing w:val="8"/>
          <w:sz w:val="28"/>
        </w:rPr>
        <w:t>抄送：证监会机构司、法治司，山西证监局。</w:t>
      </w:r>
    </w:p>
    <w:p>
      <w:pPr>
        <w:keepNext w:val="0"/>
        <w:keepLines w:val="0"/>
        <w:pageBreakBefore w:val="0"/>
        <w:widowControl w:val="0"/>
        <w:pBdr>
          <w:top w:val="single" w:color="auto" w:sz="4" w:space="6"/>
        </w:pBdr>
        <w:kinsoku/>
        <w:wordWrap/>
        <w:overflowPunct/>
        <w:topLinePunct w:val="0"/>
        <w:autoSpaceDE/>
        <w:autoSpaceDN/>
        <w:bidi w:val="0"/>
        <w:adjustRightInd w:val="0"/>
        <w:snapToGrid w:val="0"/>
        <w:spacing w:after="109" w:afterLines="35"/>
        <w:ind w:firstLine="296" w:firstLineChars="100"/>
        <w:jc w:val="left"/>
        <w:textAlignment w:val="auto"/>
        <w:rPr>
          <w:rFonts w:hint="eastAsia" w:ascii="仿宋_GB2312" w:hAnsi="Times New Roman" w:eastAsia="仿宋_GB2312" w:cs="Times New Roman"/>
          <w:spacing w:val="8"/>
          <w:sz w:val="28"/>
        </w:rPr>
      </w:pPr>
      <w:r>
        <w:rPr>
          <w:rFonts w:hint="eastAsia" w:ascii="仿宋_GB2312" w:hAnsi="Times New Roman" w:eastAsia="仿宋_GB2312" w:cs="Times New Roman"/>
          <w:spacing w:val="8"/>
          <w:sz w:val="28"/>
        </w:rPr>
        <w:t xml:space="preserve">广东证监局办公室              </w:t>
      </w:r>
      <w:r>
        <w:rPr>
          <w:rFonts w:hint="default" w:ascii="仿宋_GB2312" w:hAnsi="Times New Roman" w:eastAsia="仿宋_GB2312" w:cs="Times New Roman"/>
          <w:spacing w:val="8"/>
          <w:sz w:val="28"/>
          <w:lang w:val="en-US"/>
        </w:rPr>
        <w:t xml:space="preserve">    </w:t>
      </w:r>
      <w:r>
        <w:rPr>
          <w:rFonts w:hint="eastAsia" w:ascii="仿宋_GB2312" w:hAnsi="Times New Roman" w:eastAsia="仿宋_GB2312" w:cs="Times New Roman"/>
          <w:spacing w:val="8"/>
          <w:sz w:val="28"/>
        </w:rPr>
        <w:t xml:space="preserve"> </w:t>
      </w:r>
      <w:r>
        <w:rPr>
          <w:rFonts w:hint="default" w:ascii="仿宋_GB2312" w:hAnsi="Times New Roman" w:eastAsia="仿宋_GB2312" w:cs="Times New Roman"/>
          <w:spacing w:val="8"/>
          <w:sz w:val="28"/>
          <w:lang w:val="en" w:eastAsia="zh-CN"/>
        </w:rPr>
        <w:t>202</w:t>
      </w:r>
      <w:r>
        <w:rPr>
          <w:rFonts w:hint="eastAsia" w:ascii="仿宋_GB2312" w:hAnsi="Times New Roman" w:eastAsia="仿宋_GB2312" w:cs="Times New Roman"/>
          <w:spacing w:val="8"/>
          <w:sz w:val="28"/>
          <w:lang w:val="en-US" w:eastAsia="zh-CN"/>
        </w:rPr>
        <w:t>6</w:t>
      </w:r>
      <w:r>
        <w:rPr>
          <w:rFonts w:hint="eastAsia" w:ascii="仿宋_GB2312" w:hAnsi="Times New Roman" w:eastAsia="仿宋_GB2312" w:cs="Times New Roman"/>
          <w:spacing w:val="8"/>
          <w:sz w:val="28"/>
        </w:rPr>
        <w:t>年</w:t>
      </w:r>
      <w:r>
        <w:rPr>
          <w:rFonts w:hint="default" w:ascii="仿宋_GB2312" w:hAnsi="Times New Roman" w:eastAsia="仿宋_GB2312" w:cs="Times New Roman"/>
          <w:spacing w:val="8"/>
          <w:sz w:val="28"/>
          <w:lang w:val="en-US"/>
        </w:rPr>
        <w:t>2月13日印发</w:t>
      </w:r>
    </w:p>
    <w:bookmarkEnd w:id="1"/>
    <w:p>
      <w:pPr>
        <w:keepNext w:val="0"/>
        <w:keepLines w:val="0"/>
        <w:pageBreakBefore w:val="0"/>
        <w:widowControl w:val="0"/>
        <w:pBdr>
          <w:top w:val="single" w:color="auto" w:sz="8" w:space="7"/>
        </w:pBdr>
        <w:kinsoku/>
        <w:wordWrap/>
        <w:overflowPunct/>
        <w:topLinePunct w:val="0"/>
        <w:autoSpaceDE/>
        <w:autoSpaceDN/>
        <w:bidi w:val="0"/>
        <w:adjustRightInd w:val="0"/>
        <w:snapToGrid w:val="0"/>
        <w:spacing w:beforeLines="0" w:afterLines="0" w:line="240" w:lineRule="auto"/>
        <w:ind w:firstLine="0"/>
        <w:jc w:val="left"/>
        <w:textAlignment w:val="auto"/>
        <w:rPr>
          <w:rFonts w:hint="eastAsia" w:ascii="仿宋_GB2312" w:hAnsi="Times New Roman" w:eastAsia="仿宋_GB2312" w:cs="Times New Roman"/>
          <w:spacing w:val="8"/>
          <w:sz w:val="2"/>
          <w:szCs w:val="2"/>
        </w:rPr>
      </w:pPr>
    </w:p>
    <w:sectPr>
      <w:footerReference r:id="rId3" w:type="default"/>
      <w:pgSz w:w="11906" w:h="16838"/>
      <w:pgMar w:top="2097" w:right="1474" w:bottom="1984" w:left="1587" w:header="851" w:footer="1587" w:gutter="0"/>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长城仿宋">
    <w:altName w:val="方正仿宋_GBK"/>
    <w:panose1 w:val="02010609000101010101"/>
    <w:charset w:val="00"/>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Fonts w:hint="eastAsia" w:ascii="宋体" w:hAnsi="宋体" w:eastAsia="宋体" w:cs="宋体"/>
        <w:sz w:val="28"/>
        <w:lang w:val="en-US"/>
      </w:rPr>
    </w:pPr>
    <w:r>
      <w:rPr>
        <w:rFonts w:hint="eastAsia" w:ascii="宋体" w:hAnsi="宋体" w:eastAsia="宋体" w:cs="宋体"/>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">
              <v:fill on="f" focussize="0,0"/>
              <v:stroke on="f" weight="0.5pt"/>
              <v:imagedata o:title=""/>
              <o:lock v:ext="edit" aspectratio="f"/>
              <v:textbox inset="0mm,0mm,0mm,0mm" style="mso-fit-shape-to-text:t;">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dit="readOnly" w:enforcement="0"/>
  <w:defaultTabStop w:val="420"/>
  <w:drawingGridHorizontalSpacing w:val="210"/>
  <w:drawingGridVerticalSpacing w:val="16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BFC5B4"/>
    <w:rsid w:val="3EEFBF9F"/>
    <w:rsid w:val="4FDDB00E"/>
    <w:rsid w:val="563D1561"/>
    <w:rsid w:val="5E4E7F08"/>
    <w:rsid w:val="77FDB52B"/>
    <w:rsid w:val="EDBFC5B4"/>
    <w:rsid w:val="FBCFF88E"/>
    <w:rsid w:val="FF9E1D16"/>
    <w:rsid w:val="FFB894A4"/>
    <w:rsid w:val="FFFDE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unhideWhenUsed/>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ormalIndent"/>
    <w:basedOn w:val="1"/>
    <w:next w:val="1"/>
    <w:qFormat/>
    <w:uiPriority w:val="0"/>
    <w:pPr>
      <w:spacing w:line="240" w:lineRule="auto"/>
      <w:ind w:firstLine="420"/>
      <w:jc w:val="both"/>
      <w:textAlignment w:val="baseline"/>
    </w:pPr>
    <w:rPr>
      <w:rFonts w:ascii="宋体" w:hAnsi="Calibri"/>
      <w:kern w:val="0"/>
      <w:sz w:val="21"/>
      <w:szCs w:val="24"/>
      <w:lang w:val="en-US" w:eastAsia="zh-CN" w:bidi="ar-SA"/>
    </w:rPr>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2026-02-05T23:17:00Z</dcterms:created>
  <dc:creator>梁庆</dc:creator>
  <cp:lastModifiedBy>梁庆</cp:lastModifiedBy>
  <dcterms:modified xsi:type="dcterms:W3CDTF">2026-02-24T16:26:40Z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6D4BFC7BAE1ECEB491609D69CD15BCCA</vt:lpwstr>
  </property>
</Properties>
</file>