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8"/>
          <w:highlight w:val="none"/>
          <w:lang w:val="en-US" w:eastAsia="zh-CN" w:bidi="ar-SA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8"/>
          <w:highlight w:val="none"/>
          <w:lang w:val="en-US" w:eastAsia="zh-CN" w:bidi="ar-SA"/>
        </w:rPr>
        <w:t>广东博众智能科技投资有限公司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采取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责令改正监管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8"/>
          <w:highlight w:val="none"/>
          <w:lang w:val="en-US" w:eastAsia="zh-CN" w:bidi="ar-SA"/>
        </w:rPr>
        <w:t>措施的决定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广东博众智能科技投资有限公司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经查，2026年1月20日至1月28日期间，你公司个别员工在未履行内部合规审查流程的情况下，使用公司其他员工名下互联网账号，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播放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包含违规内容的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证券投资咨询相关视频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。过程中，你公司未对相关违规行为进行有效监测和制止。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上述情况反映出你公司合规管理和风险控制机制存在缺陷，对员工执业行为的管理不到位，违反了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《证券投资顾问业务暂行规定》（证监会公告〔2020〕66号）第三条、第八条和第九条的规定。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证券法》第一百七十条第二款和《证券投资顾问业务暂行规定》第三十二条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的规定，现决定对你公司采取责令改正的监管措施。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你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lang w:eastAsia="zh-CN"/>
        </w:rPr>
        <w:t>有效措施对存在的问题进行整改，并在收到本决定书之日起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</w:rPr>
        <w:t>提交书面整改报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hAnsi="Times New Roman" w:eastAsia="黑体" w:cs="Times New Roman"/>
          <w:spacing w:val="8"/>
          <w:sz w:val="2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hAnsi="Times New Roman" w:eastAsia="长城仿宋" w:cs="Times New Roman"/>
          <w:sz w:val="28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>抄送：证监会机构司、法治司。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</w:rPr>
      </w:pP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广东证监局办公室              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/>
        </w:rPr>
        <w:t xml:space="preserve">    </w:t>
      </w:r>
      <w:r>
        <w:rPr>
          <w:rFonts w:hint="eastAsia" w:ascii="仿宋_GB2312" w:hAnsi="Times New Roman" w:eastAsia="仿宋_GB2312" w:cs="Times New Roman"/>
          <w:spacing w:val="8"/>
          <w:sz w:val="28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lang w:val="en" w:eastAsia="zh-CN"/>
        </w:rPr>
        <w:t>202</w:t>
      </w:r>
      <w:r>
        <w:rPr>
          <w:rFonts w:hint="eastAsia" w:ascii="仿宋_GB2312" w:hAnsi="Times New Roman" w:eastAsia="仿宋_GB2312" w:cs="Times New Roman"/>
          <w:spacing w:val="8"/>
          <w:sz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年</w:t>
      </w:r>
      <w:r>
        <w:rPr>
          <w:rFonts w:hint="default" w:ascii="仿宋_GB2312" w:hAnsi="Times New Roman" w:eastAsia="仿宋_GB2312" w:cs="Times New Roman"/>
          <w:spacing w:val="8"/>
          <w:sz w:val="28"/>
          <w:lang w:val="en-US"/>
        </w:rPr>
        <w:t>2月13日印发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长城仿宋">
    <w:altName w:val="方正仿宋_GBK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BWGMPysCAABV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FA61"/>
    <w:rsid w:val="7DA51B66"/>
    <w:rsid w:val="7EADE845"/>
    <w:rsid w:val="7FB3FA61"/>
    <w:rsid w:val="AFF756B7"/>
    <w:rsid w:val="BFD768F2"/>
    <w:rsid w:val="BFDE2F40"/>
    <w:rsid w:val="EDF2AB00"/>
    <w:rsid w:val="FF5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2026-02-05T14:00:00Z</dcterms:created>
  <dc:creator>梁庆</dc:creator>
  <cp:lastModifiedBy>梁庆</cp:lastModifiedBy>
  <dcterms:modified xsi:type="dcterms:W3CDTF">2026-02-24T16:28:07Z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377466ACE31A1083FD609D699F823691</vt:lpwstr>
  </property>
</Properties>
</file>