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cs="Times New Roman"/>
          <w:b/>
          <w:color w:val="FF0000"/>
          <w:w w:val="95"/>
          <w:kern w:val="0"/>
          <w:sz w:val="44"/>
          <w:szCs w:val="116"/>
        </w:rPr>
      </w:pPr>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cs="Times New Roman"/>
          <w:snapToGrid w:val="0"/>
          <w:spacing w:val="85"/>
          <w:w w:val="90"/>
          <w:sz w:val="72"/>
          <w:szCs w:val="72"/>
        </w:rPr>
      </w:pPr>
      <w:r>
        <w:rPr>
          <w:rFonts w:hint="eastAsia" w:ascii="方正小标宋简体" w:hAnsi="方正小标宋简体" w:eastAsia="方正小标宋简体" w:cs="Times New Roman"/>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28"/>
          <w:szCs w:val="28"/>
        </w:rPr>
      </w:pPr>
    </w:p>
    <w:p>
      <w:pPr>
        <w:snapToGrid w:val="0"/>
        <w:spacing w:before="156" w:beforeLines="50" w:line="300" w:lineRule="auto"/>
        <w:jc w:val="center"/>
        <w:rPr>
          <w:rFonts w:ascii="黑体" w:hAnsi="Times New Roman" w:eastAsia="黑体" w:cs="Times New Roman"/>
          <w:color w:val="000000"/>
          <w:spacing w:val="12"/>
          <w:sz w:val="32"/>
          <w:szCs w:val="20"/>
        </w:rPr>
      </w:pPr>
      <w:bookmarkStart w:id="0" w:name="WH"/>
      <w:bookmarkEnd w:id="0"/>
      <w:r>
        <w:rPr>
          <w:rFonts w:hint="eastAsia" w:ascii="仿宋_GB2312" w:hAnsi="Times New Roman" w:eastAsia="仿宋_GB2312" w:cs="Times New Roman"/>
          <w:color w:val="000000"/>
          <w:spacing w:val="12"/>
          <w:sz w:val="28"/>
          <w:szCs w:val="20"/>
        </w:rPr>
        <w:t>〔20</w:t>
      </w:r>
      <w:r>
        <w:rPr>
          <w:rFonts w:hint="default" w:ascii="仿宋_GB2312" w:hAnsi="Times New Roman" w:eastAsia="仿宋_GB2312" w:cs="Times New Roman"/>
          <w:color w:val="000000"/>
          <w:spacing w:val="12"/>
          <w:sz w:val="28"/>
          <w:szCs w:val="20"/>
          <w:lang w:val="en-US"/>
        </w:rPr>
        <w:t>26</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16</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cs="Times New Roman"/>
          <w:sz w:val="28"/>
          <w:szCs w:val="28"/>
        </w:rPr>
      </w:pPr>
      <w:r>
        <w:rPr>
          <w:rFonts w:ascii="Times New Roman" w:hAnsi="Times New Roman" w:cs="Times New Roman"/>
          <w:szCs w:val="20"/>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wvtZLWAAAACAEAAA8AAAAAAAAA&#10;AQAgAAAAOAAAAGRycy9kb3ducmV2LnhtbFBLAQIUABQAAAAIAIdO4kAV8uZj/QEAAPUDAAAOAAAA&#10;AAAAAAEAIAAAADsBAABkcnMvZTJvRG9jLnhtbFBLBQYAAAAABgAGAFkBAACqBQAAAAA=&#10;">
                <v:fill on="f" focussize="0,0"/>
                <v:stroke weight="1pt" color="#FF0000" joinstyle="round"/>
                <v:imagedata o:title=""/>
                <o:lock v:ext="edit" aspectratio="f"/>
              </v:line>
            </w:pict>
          </mc:Fallback>
        </mc:AlternateContent>
      </w:r>
    </w:p>
    <w:p>
      <w:pPr>
        <w:jc w:val="center"/>
        <w:rPr>
          <w:rFonts w:hint="eastAsia" w:ascii="Times New Roman" w:hAnsi="Times New Roman" w:cs="Times New Roman"/>
          <w:sz w:val="28"/>
          <w:szCs w:val="28"/>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textAlignment w:val="auto"/>
        <w:outlineLvl w:val="9"/>
        <w:rPr>
          <w:rFonts w:hint="eastAsia" w:ascii="方正小标宋简体" w:hAnsi="方正小标宋简体" w:eastAsia="方正小标宋简体" w:cs="方正小标宋简体"/>
          <w:color w:val="000000"/>
          <w:sz w:val="44"/>
          <w:szCs w:val="24"/>
          <w:lang w:eastAsia="zh-CN"/>
        </w:rPr>
      </w:pPr>
      <w:bookmarkStart w:id="2" w:name="_GoBack"/>
      <w:bookmarkStart w:id="1" w:name="quanwen"/>
      <w:r>
        <w:rPr>
          <w:rFonts w:hint="eastAsia" w:ascii="方正小标宋简体" w:hAnsi="方正小标宋简体" w:eastAsia="方正小标宋简体" w:cs="方正小标宋简体"/>
          <w:color w:val="000000"/>
          <w:sz w:val="44"/>
          <w:szCs w:val="24"/>
          <w:lang w:eastAsia="zh-CN"/>
        </w:rPr>
        <w:t>关于对王若愚采取出具警示函措施的决定</w:t>
      </w:r>
    </w:p>
    <w:bookmarkEnd w:id="2"/>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jc w:val="both"/>
        <w:textAlignment w:val="auto"/>
        <w:outlineLvl w:val="9"/>
        <w:rPr>
          <w:rFonts w:hint="eastAsia" w:ascii="方正小标宋简体" w:hAnsi="方正小标宋简体" w:eastAsia="方正小标宋简体" w:cs="方正小标宋简体"/>
          <w:color w:val="000000"/>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王若愚</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jc w:val="both"/>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经查，</w:t>
      </w:r>
      <w:r>
        <w:rPr>
          <w:rFonts w:hint="eastAsia" w:ascii="仿宋_GB2312" w:hAnsi="仿宋_GB2312" w:eastAsia="仿宋_GB2312" w:cs="Times New Roman"/>
          <w:sz w:val="32"/>
          <w:szCs w:val="24"/>
          <w:highlight w:val="none"/>
          <w:lang w:eastAsia="zh-CN"/>
        </w:rPr>
        <w:t>慧研智投科技有限公司广州分公司（以下简称慧研广州分公司）</w:t>
      </w:r>
      <w:r>
        <w:rPr>
          <w:rFonts w:hint="eastAsia" w:ascii="仿宋_GB2312" w:hAnsi="仿宋_GB2312" w:eastAsia="仿宋_GB2312" w:cs="仿宋_GB2312"/>
          <w:color w:val="000000"/>
          <w:kern w:val="0"/>
          <w:sz w:val="32"/>
          <w:szCs w:val="32"/>
        </w:rPr>
        <w:t>在</w:t>
      </w:r>
      <w:r>
        <w:rPr>
          <w:rFonts w:hint="eastAsia" w:ascii="仿宋_GB2312" w:hAnsi="仿宋_GB2312" w:eastAsia="仿宋_GB2312" w:cs="仿宋_GB2312"/>
          <w:color w:val="000000"/>
          <w:kern w:val="0"/>
          <w:sz w:val="32"/>
          <w:szCs w:val="32"/>
          <w:lang w:eastAsia="zh-CN"/>
        </w:rPr>
        <w:t>展业过程中存在多项违规行为。</w:t>
      </w:r>
      <w:r>
        <w:rPr>
          <w:rFonts w:hint="eastAsia" w:ascii="仿宋_GB2312" w:hAnsi="仿宋_GB2312" w:eastAsia="仿宋_GB2312" w:cs="仿宋_GB2312"/>
          <w:b/>
          <w:bCs/>
          <w:color w:val="000000"/>
          <w:kern w:val="0"/>
          <w:sz w:val="32"/>
          <w:szCs w:val="32"/>
          <w:lang w:eastAsia="zh-CN"/>
        </w:rPr>
        <w:t>一是</w:t>
      </w:r>
      <w:r>
        <w:rPr>
          <w:rFonts w:hint="eastAsia" w:ascii="仿宋_GB2312" w:hAnsi="仿宋_GB2312" w:eastAsia="仿宋_GB2312" w:cs="仿宋_GB2312"/>
          <w:color w:val="000000"/>
          <w:kern w:val="0"/>
          <w:sz w:val="32"/>
          <w:szCs w:val="32"/>
          <w:lang w:eastAsia="zh-CN"/>
        </w:rPr>
        <w:t>投顾服务和合规管理留痕不全。</w:t>
      </w:r>
      <w:r>
        <w:rPr>
          <w:rFonts w:hint="eastAsia" w:ascii="仿宋_GB2312" w:hAnsi="仿宋_GB2312" w:eastAsia="仿宋_GB2312" w:cs="仿宋_GB2312"/>
          <w:b/>
          <w:bCs/>
          <w:color w:val="000000"/>
          <w:kern w:val="0"/>
          <w:sz w:val="32"/>
          <w:szCs w:val="32"/>
          <w:lang w:eastAsia="zh-CN"/>
        </w:rPr>
        <w:t>二是</w:t>
      </w:r>
      <w:r>
        <w:rPr>
          <w:rFonts w:hint="eastAsia" w:ascii="仿宋_GB2312" w:hAnsi="仿宋_GB2312" w:eastAsia="仿宋_GB2312" w:cs="仿宋_GB2312"/>
          <w:color w:val="000000"/>
          <w:kern w:val="0"/>
          <w:sz w:val="32"/>
          <w:szCs w:val="32"/>
          <w:lang w:eastAsia="zh-CN"/>
        </w:rPr>
        <w:t>个别证券投资顾问人员开展网络直播活动时对市场走势进行确定性判断、对个股作出具体投资建议和未展示证券投资顾问的姓名及登记编号。</w:t>
      </w:r>
      <w:r>
        <w:rPr>
          <w:rFonts w:hint="eastAsia" w:ascii="仿宋_GB2312" w:hAnsi="仿宋_GB2312" w:eastAsia="仿宋_GB2312" w:cs="仿宋_GB2312"/>
          <w:b/>
          <w:bCs/>
          <w:color w:val="000000"/>
          <w:kern w:val="0"/>
          <w:sz w:val="32"/>
          <w:szCs w:val="32"/>
          <w:lang w:eastAsia="zh-CN"/>
        </w:rPr>
        <w:t>三是</w:t>
      </w:r>
      <w:r>
        <w:rPr>
          <w:rFonts w:hint="eastAsia" w:ascii="仿宋_GB2312" w:hAnsi="仿宋_GB2312" w:eastAsia="仿宋_GB2312" w:cs="仿宋_GB2312"/>
          <w:color w:val="000000"/>
          <w:kern w:val="0"/>
          <w:sz w:val="32"/>
          <w:szCs w:val="32"/>
          <w:lang w:eastAsia="zh-CN"/>
        </w:rPr>
        <w:t>个别未在中国证券业协会注册登记为证券投资顾问的员工向客户提供投资建议。</w:t>
      </w:r>
      <w:r>
        <w:rPr>
          <w:rFonts w:hint="eastAsia" w:ascii="仿宋_GB2312" w:hAnsi="仿宋_GB2312" w:eastAsia="仿宋_GB2312" w:cs="仿宋_GB2312"/>
          <w:b/>
          <w:bCs/>
          <w:color w:val="000000"/>
          <w:kern w:val="0"/>
          <w:sz w:val="32"/>
          <w:szCs w:val="32"/>
          <w:lang w:eastAsia="zh-CN"/>
        </w:rPr>
        <w:t>四是</w:t>
      </w:r>
      <w:r>
        <w:rPr>
          <w:rFonts w:hint="eastAsia" w:ascii="仿宋_GB2312" w:hAnsi="仿宋_GB2312" w:eastAsia="仿宋_GB2312" w:cs="仿宋_GB2312"/>
          <w:color w:val="000000"/>
          <w:kern w:val="0"/>
          <w:sz w:val="32"/>
          <w:szCs w:val="32"/>
          <w:lang w:eastAsia="zh-CN"/>
        </w:rPr>
        <w:t>适当性管理不到位，未审慎评估客户的经济状况和风险承受能力。</w:t>
      </w:r>
      <w:r>
        <w:rPr>
          <w:rFonts w:hint="eastAsia" w:ascii="仿宋_GB2312" w:hAnsi="仿宋_GB2312" w:eastAsia="仿宋_GB2312" w:cs="仿宋_GB2312"/>
          <w:b/>
          <w:bCs/>
          <w:color w:val="000000"/>
          <w:kern w:val="0"/>
          <w:sz w:val="32"/>
          <w:szCs w:val="32"/>
          <w:lang w:eastAsia="zh-CN"/>
        </w:rPr>
        <w:t>五是</w:t>
      </w:r>
      <w:r>
        <w:rPr>
          <w:rFonts w:hint="eastAsia" w:ascii="仿宋_GB2312" w:hAnsi="仿宋_GB2312" w:eastAsia="仿宋_GB2312" w:cs="仿宋_GB2312"/>
          <w:color w:val="000000"/>
          <w:kern w:val="0"/>
          <w:sz w:val="32"/>
          <w:szCs w:val="32"/>
          <w:lang w:eastAsia="zh-CN"/>
        </w:rPr>
        <w:t>服务承诺与实际情况不符。上述行为违反了</w:t>
      </w:r>
      <w:r>
        <w:rPr>
          <w:rFonts w:hint="eastAsia" w:ascii="仿宋_GB2312" w:hAnsi="仿宋_GB2312" w:eastAsia="仿宋_GB2312" w:cs="Times New Roman"/>
          <w:sz w:val="32"/>
          <w:szCs w:val="24"/>
          <w:highlight w:val="none"/>
        </w:rPr>
        <w:t>《证券期货投资者适当性管理办法》（证监会令第202号，以下简称《适当性管理办法》）</w:t>
      </w:r>
      <w:r>
        <w:rPr>
          <w:rFonts w:hint="eastAsia" w:ascii="仿宋_GB2312" w:hAnsi="仿宋_GB2312" w:eastAsia="仿宋_GB2312" w:cs="仿宋_GB2312"/>
          <w:color w:val="000000"/>
          <w:kern w:val="0"/>
          <w:sz w:val="32"/>
          <w:szCs w:val="32"/>
          <w:lang w:eastAsia="zh-CN"/>
        </w:rPr>
        <w:t>第三条，以及</w:t>
      </w:r>
      <w:r>
        <w:rPr>
          <w:rFonts w:hint="eastAsia" w:ascii="仿宋_GB2312" w:hAnsi="仿宋_GB2312" w:eastAsia="仿宋_GB2312" w:cs="Times New Roman"/>
          <w:sz w:val="32"/>
          <w:szCs w:val="24"/>
          <w:highlight w:val="none"/>
        </w:rPr>
        <w:t>《证券投资顾问业务暂行规定》（证监会公告〔2020〕66号,以下简称《投顾业务</w:t>
      </w:r>
      <w:r>
        <w:rPr>
          <w:rFonts w:hint="eastAsia" w:ascii="仿宋_GB2312" w:hAnsi="仿宋_GB2312" w:eastAsia="仿宋_GB2312" w:cs="Times New Roman"/>
          <w:sz w:val="32"/>
          <w:szCs w:val="24"/>
          <w:highlight w:val="none"/>
          <w:lang w:eastAsia="zh-CN"/>
        </w:rPr>
        <w:t>暂行</w:t>
      </w:r>
      <w:r>
        <w:rPr>
          <w:rFonts w:hint="eastAsia" w:ascii="仿宋_GB2312" w:hAnsi="仿宋_GB2312" w:eastAsia="仿宋_GB2312" w:cs="Times New Roman"/>
          <w:sz w:val="32"/>
          <w:szCs w:val="24"/>
          <w:highlight w:val="none"/>
        </w:rPr>
        <w:t>规定》）</w:t>
      </w:r>
      <w:r>
        <w:rPr>
          <w:rFonts w:hint="eastAsia" w:ascii="仿宋_GB2312" w:hAnsi="仿宋_GB2312" w:eastAsia="仿宋_GB2312" w:cs="仿宋_GB2312"/>
          <w:color w:val="000000"/>
          <w:kern w:val="0"/>
          <w:sz w:val="32"/>
          <w:szCs w:val="32"/>
          <w:lang w:eastAsia="zh-CN"/>
        </w:rPr>
        <w:t>第七条、第十二条</w:t>
      </w:r>
      <w:r>
        <w:rPr>
          <w:rFonts w:hint="eastAsia" w:ascii="仿宋_GB2312" w:hAnsi="仿宋_GB2312" w:eastAsia="仿宋_GB2312" w:cs="仿宋_GB2312"/>
          <w:color w:val="auto"/>
          <w:spacing w:val="0"/>
          <w:sz w:val="32"/>
          <w:szCs w:val="32"/>
          <w:highlight w:val="none"/>
          <w:lang w:val="en-US" w:eastAsia="zh-CN"/>
        </w:rPr>
        <w:t>第一款第（二）项</w:t>
      </w:r>
      <w:r>
        <w:rPr>
          <w:rFonts w:hint="eastAsia" w:ascii="仿宋_GB2312" w:hAnsi="仿宋_GB2312" w:eastAsia="仿宋_GB2312" w:cs="仿宋_GB2312"/>
          <w:color w:val="000000"/>
          <w:kern w:val="0"/>
          <w:sz w:val="32"/>
          <w:szCs w:val="32"/>
          <w:lang w:eastAsia="zh-CN"/>
        </w:rPr>
        <w:t>、第二十四条、第二十七条、第三十一条的规定。</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spacing w:val="0"/>
          <w:sz w:val="32"/>
          <w:szCs w:val="32"/>
          <w:highlight w:val="none"/>
          <w:lang w:val="en-US" w:eastAsia="zh-CN"/>
        </w:rPr>
        <w:t>你作为</w:t>
      </w:r>
      <w:r>
        <w:rPr>
          <w:rFonts w:hint="eastAsia" w:ascii="仿宋_GB2312" w:hAnsi="仿宋_GB2312" w:eastAsia="仿宋_GB2312" w:cs="Times New Roman"/>
          <w:sz w:val="32"/>
          <w:szCs w:val="24"/>
          <w:highlight w:val="none"/>
          <w:lang w:eastAsia="zh-CN"/>
        </w:rPr>
        <w:t>慧研广州分公司负责人，对上述违规行为负有责任，</w:t>
      </w:r>
      <w:r>
        <w:rPr>
          <w:rFonts w:hint="eastAsia" w:ascii="仿宋_GB2312" w:hAnsi="仿宋_GB2312" w:eastAsia="仿宋_GB2312" w:cs="仿宋_GB2312"/>
          <w:color w:val="auto"/>
          <w:spacing w:val="0"/>
          <w:sz w:val="32"/>
          <w:szCs w:val="32"/>
          <w:highlight w:val="none"/>
          <w:lang w:val="en-US" w:eastAsia="zh-CN"/>
        </w:rPr>
        <w:t>根据</w:t>
      </w:r>
      <w:r>
        <w:rPr>
          <w:rFonts w:hint="eastAsia" w:ascii="仿宋_GB2312" w:hAnsi="仿宋_GB2312" w:eastAsia="仿宋_GB2312" w:cs="Times New Roman"/>
          <w:sz w:val="32"/>
          <w:szCs w:val="24"/>
          <w:highlight w:val="none"/>
        </w:rPr>
        <w:t>《中华人民共和国证券法》（</w:t>
      </w:r>
      <w:r>
        <w:rPr>
          <w:rFonts w:hint="eastAsia" w:ascii="仿宋_GB2312" w:hAnsi="仿宋_GB2312" w:eastAsia="仿宋_GB2312" w:cs="Times New Roman"/>
          <w:sz w:val="32"/>
          <w:szCs w:val="24"/>
          <w:highlight w:val="none"/>
          <w:lang w:eastAsia="zh-CN"/>
        </w:rPr>
        <w:t>主席令第</w:t>
      </w:r>
      <w:r>
        <w:rPr>
          <w:rFonts w:hint="eastAsia" w:ascii="仿宋_GB2312" w:hAnsi="仿宋_GB2312" w:eastAsia="仿宋_GB2312" w:cs="Times New Roman"/>
          <w:sz w:val="32"/>
          <w:szCs w:val="24"/>
          <w:highlight w:val="none"/>
          <w:lang w:val="en-US" w:eastAsia="zh-CN"/>
        </w:rPr>
        <w:t>37号</w:t>
      </w:r>
      <w:r>
        <w:rPr>
          <w:rFonts w:hint="eastAsia" w:ascii="仿宋_GB2312" w:hAnsi="仿宋_GB2312" w:eastAsia="仿宋_GB2312" w:cs="Times New Roman"/>
          <w:sz w:val="32"/>
          <w:szCs w:val="24"/>
          <w:highlight w:val="none"/>
        </w:rPr>
        <w:t>）</w:t>
      </w:r>
      <w:r>
        <w:rPr>
          <w:rFonts w:hint="eastAsia" w:ascii="仿宋_GB2312" w:hAnsi="仿宋_GB2312" w:eastAsia="仿宋_GB2312" w:cs="仿宋_GB2312"/>
          <w:color w:val="auto"/>
          <w:spacing w:val="0"/>
          <w:sz w:val="32"/>
          <w:szCs w:val="32"/>
          <w:highlight w:val="none"/>
          <w:lang w:val="en-US" w:eastAsia="zh-CN"/>
        </w:rPr>
        <w:t>第一百七十条第二款、《适当性管理办法》第三十七条、《投顾业务暂行规定》第三十二条的规定</w:t>
      </w:r>
      <w:r>
        <w:rPr>
          <w:rFonts w:hint="eastAsia" w:ascii="仿宋_GB2312" w:hAnsi="仿宋_GB2312" w:eastAsia="仿宋_GB2312" w:cs="仿宋_GB2312"/>
          <w:color w:val="000000"/>
          <w:kern w:val="0"/>
          <w:sz w:val="32"/>
          <w:szCs w:val="32"/>
        </w:rPr>
        <w:t>，现决定对你采取出具警示函的监督管理措施。</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64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如果对本监督管理措施不服，可以在收到本决定书之日起60日内向中国证券监督管理委员会提出行政复议申请，也可以在收到本决定书之日起6个月内向有管辖权的人民法院提起诉讼。复议与诉讼期间，上述监督管理措施不停止执行。</w:t>
      </w:r>
    </w:p>
    <w:p>
      <w:pPr>
        <w:widowControl w:val="0"/>
        <w:overflowPunct w:val="0"/>
        <w:snapToGrid w:val="0"/>
        <w:spacing w:line="360" w:lineRule="auto"/>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4"/>
        </w:rPr>
      </w:pPr>
      <w:r>
        <w:rPr>
          <w:rFonts w:hint="eastAsia" w:ascii="仿宋_GB2312" w:hAnsi="Times New Roman" w:eastAsia="仿宋_GB2312" w:cs="Times New Roman"/>
          <w:color w:val="000000"/>
          <w:sz w:val="32"/>
          <w:szCs w:val="24"/>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Times New Roman" w:hAnsi="Times New Roman" w:eastAsia="宋体" w:cs="Times New Roman"/>
          <w:szCs w:val="20"/>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6</w:t>
      </w:r>
      <w:r>
        <w:rPr>
          <w:rFonts w:hint="eastAsia" w:ascii="仿宋_GB2312" w:hAnsi="Times New Roman" w:eastAsia="仿宋_GB2312" w:cs="Times New Roman"/>
          <w:color w:val="000000"/>
          <w:spacing w:val="10"/>
          <w:sz w:val="32"/>
          <w:szCs w:val="32"/>
        </w:rPr>
        <w:t>年</w:t>
      </w:r>
      <w:r>
        <w:rPr>
          <w:rFonts w:hint="default" w:ascii="仿宋_GB2312" w:hAnsi="Calibri" w:eastAsia="仿宋_GB2312" w:cs="Times New Roman"/>
          <w:color w:val="000000"/>
          <w:spacing w:val="10"/>
          <w:sz w:val="32"/>
          <w:szCs w:val="32"/>
          <w:lang w:val="en-US" w:eastAsia="zh-CN"/>
        </w:rPr>
        <w:t>1</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23</w:t>
      </w:r>
      <w:r>
        <w:rPr>
          <w:rFonts w:hint="eastAsia" w:ascii="仿宋_GB2312" w:hAnsi="Times New Roman" w:eastAsia="仿宋_GB2312" w:cs="Times New Roman"/>
          <w:color w:val="000000"/>
          <w:spacing w:val="10"/>
          <w:sz w:val="32"/>
          <w:szCs w:val="32"/>
        </w:rPr>
        <w:t>日</w:t>
      </w: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beforeLines="0" w:afterLines="0" w:line="360" w:lineRule="auto"/>
        <w:ind w:right="26"/>
        <w:jc w:val="left"/>
        <w:rPr>
          <w:rFonts w:hint="eastAsia" w:ascii="黑体" w:hAnsi="Calibri" w:eastAsia="黑体" w:cs="Times New Roman"/>
          <w:spacing w:val="8"/>
          <w:sz w:val="32"/>
          <w:szCs w:val="32"/>
          <w:highlight w:val="none"/>
        </w:rPr>
      </w:pPr>
    </w:p>
    <w:p>
      <w:pPr>
        <w:snapToGrid w:val="0"/>
        <w:spacing w:line="300" w:lineRule="auto"/>
        <w:ind w:right="26"/>
        <w:jc w:val="left"/>
        <w:rPr>
          <w:rFonts w:hint="eastAsia" w:ascii="黑体" w:hAnsi="Calibri" w:eastAsia="黑体" w:cs="Times New Roman"/>
          <w:spacing w:val="8"/>
          <w:sz w:val="24"/>
          <w:szCs w:val="24"/>
        </w:rPr>
      </w:pPr>
    </w:p>
    <w:p>
      <w:pPr>
        <w:keepNext w:val="0"/>
        <w:keepLines w:val="0"/>
        <w:pageBreakBefore w:val="0"/>
        <w:widowControl w:val="0"/>
        <w:pBdr>
          <w:top w:val="single" w:color="auto" w:sz="8" w:space="6"/>
        </w:pBdr>
        <w:kinsoku/>
        <w:wordWrap/>
        <w:overflowPunct/>
        <w:topLinePunct w:val="0"/>
        <w:autoSpaceDE/>
        <w:autoSpaceDN/>
        <w:bidi w:val="0"/>
        <w:adjustRightInd w:val="0"/>
        <w:snapToGrid w:val="0"/>
        <w:spacing w:after="109" w:afterLines="35"/>
        <w:ind w:firstLine="296" w:firstLineChars="100"/>
        <w:textAlignment w:val="auto"/>
        <w:rPr>
          <w:rFonts w:ascii="长城仿宋" w:hAnsi="Calibri" w:eastAsia="长城仿宋" w:cs="Times New Roman"/>
          <w:sz w:val="28"/>
          <w:szCs w:val="24"/>
        </w:rPr>
      </w:pPr>
      <w:r>
        <w:rPr>
          <w:rFonts w:hint="eastAsia" w:ascii="仿宋_GB2312" w:hAnsi="Calibri" w:eastAsia="仿宋_GB2312" w:cs="Times New Roman"/>
          <w:spacing w:val="8"/>
          <w:sz w:val="28"/>
          <w:szCs w:val="24"/>
        </w:rPr>
        <w:t>抄送：证监会机构司、法治司，山西证监局。</w:t>
      </w:r>
    </w:p>
    <w:p>
      <w:pPr>
        <w:pBdr>
          <w:top w:val="single" w:color="auto" w:sz="4" w:space="6"/>
        </w:pBdr>
        <w:adjustRightInd w:val="0"/>
        <w:snapToGrid w:val="0"/>
        <w:spacing w:after="109" w:afterLines="35"/>
        <w:ind w:firstLine="318"/>
        <w:jc w:val="left"/>
        <w:rPr>
          <w:rFonts w:hint="eastAsia" w:ascii="仿宋_GB2312" w:hAnsi="Calibri" w:eastAsia="仿宋_GB2312" w:cs="Times New Roman"/>
          <w:spacing w:val="8"/>
          <w:sz w:val="28"/>
          <w:szCs w:val="24"/>
        </w:rPr>
      </w:pPr>
      <w:r>
        <w:rPr>
          <w:rFonts w:hint="eastAsia" w:ascii="仿宋_GB2312" w:hAnsi="Calibri" w:eastAsia="仿宋_GB2312" w:cs="Times New Roman"/>
          <w:spacing w:val="8"/>
          <w:sz w:val="28"/>
          <w:szCs w:val="24"/>
        </w:rPr>
        <w:t xml:space="preserve">广东证监局办公室        </w:t>
      </w:r>
      <w:r>
        <w:rPr>
          <w:rFonts w:hint="eastAsia" w:ascii="仿宋_GB2312" w:hAnsi="Calibri" w:eastAsia="仿宋_GB2312" w:cs="Times New Roman"/>
          <w:spacing w:val="8"/>
          <w:sz w:val="28"/>
          <w:szCs w:val="24"/>
          <w:lang w:val="en-US" w:eastAsia="zh-CN"/>
        </w:rPr>
        <w:t xml:space="preserve">  </w:t>
      </w:r>
      <w:r>
        <w:rPr>
          <w:rFonts w:hint="default" w:ascii="仿宋_GB2312" w:hAnsi="Calibri" w:eastAsia="仿宋_GB2312" w:cs="Times New Roman"/>
          <w:spacing w:val="8"/>
          <w:sz w:val="28"/>
          <w:szCs w:val="24"/>
          <w:lang w:val="en-US" w:eastAsia="zh-CN"/>
        </w:rPr>
        <w:t xml:space="preserve"> </w:t>
      </w:r>
      <w:r>
        <w:rPr>
          <w:rFonts w:hint="eastAsia" w:ascii="仿宋_GB2312" w:hAnsi="Calibri" w:eastAsia="仿宋_GB2312" w:cs="Times New Roman"/>
          <w:spacing w:val="8"/>
          <w:sz w:val="28"/>
          <w:szCs w:val="24"/>
        </w:rPr>
        <w:t xml:space="preserve">    </w:t>
      </w:r>
      <w:r>
        <w:rPr>
          <w:rFonts w:hint="default" w:ascii="仿宋_GB2312" w:hAnsi="Calibri" w:eastAsia="仿宋_GB2312" w:cs="Times New Roman"/>
          <w:spacing w:val="8"/>
          <w:sz w:val="28"/>
          <w:szCs w:val="24"/>
          <w:lang w:val="en-US"/>
        </w:rPr>
        <w:t xml:space="preserve">    </w:t>
      </w:r>
      <w:r>
        <w:rPr>
          <w:rFonts w:hint="default" w:ascii="仿宋_GB2312" w:hAnsi="Calibri" w:eastAsia="仿宋_GB2312" w:cs="Times New Roman"/>
          <w:spacing w:val="8"/>
          <w:sz w:val="28"/>
          <w:szCs w:val="24"/>
          <w:lang w:val="en" w:eastAsia="zh-CN"/>
        </w:rPr>
        <w:t>202</w:t>
      </w:r>
      <w:r>
        <w:rPr>
          <w:rFonts w:hint="eastAsia" w:ascii="仿宋_GB2312" w:hAnsi="Calibri" w:eastAsia="仿宋_GB2312" w:cs="Times New Roman"/>
          <w:spacing w:val="8"/>
          <w:sz w:val="28"/>
          <w:szCs w:val="24"/>
          <w:lang w:val="en-US" w:eastAsia="zh-CN"/>
        </w:rPr>
        <w:t>6</w:t>
      </w:r>
      <w:r>
        <w:rPr>
          <w:rFonts w:hint="eastAsia" w:ascii="仿宋_GB2312" w:hAnsi="Calibri" w:eastAsia="仿宋_GB2312" w:cs="Times New Roman"/>
          <w:spacing w:val="8"/>
          <w:sz w:val="28"/>
          <w:szCs w:val="24"/>
        </w:rPr>
        <w:t>年</w:t>
      </w:r>
      <w:r>
        <w:rPr>
          <w:rFonts w:hint="eastAsia" w:ascii="仿宋_GB2312" w:hAnsi="Calibri" w:eastAsia="仿宋_GB2312" w:cs="Times New Roman"/>
          <w:spacing w:val="8"/>
          <w:sz w:val="28"/>
          <w:szCs w:val="24"/>
          <w:lang w:val="en-US" w:eastAsia="zh-CN"/>
        </w:rPr>
        <w:t>1</w:t>
      </w:r>
      <w:r>
        <w:rPr>
          <w:rFonts w:hint="eastAsia" w:ascii="仿宋_GB2312" w:hAnsi="Calibri" w:eastAsia="仿宋_GB2312" w:cs="Times New Roman"/>
          <w:spacing w:val="8"/>
          <w:sz w:val="28"/>
          <w:szCs w:val="24"/>
        </w:rPr>
        <w:t>月</w:t>
      </w:r>
      <w:r>
        <w:rPr>
          <w:rFonts w:hint="default" w:ascii="仿宋_GB2312" w:hAnsi="Calibri" w:eastAsia="仿宋_GB2312" w:cs="Times New Roman"/>
          <w:spacing w:val="8"/>
          <w:sz w:val="28"/>
          <w:szCs w:val="24"/>
          <w:lang w:val="en-US" w:eastAsia="zh-CN"/>
        </w:rPr>
        <w:t>26</w:t>
      </w:r>
      <w:r>
        <w:rPr>
          <w:rFonts w:hint="eastAsia" w:ascii="仿宋_GB2312" w:hAnsi="Calibri" w:eastAsia="仿宋_GB2312" w:cs="Times New Roman"/>
          <w:spacing w:val="8"/>
          <w:sz w:val="28"/>
          <w:szCs w:val="24"/>
        </w:rPr>
        <w:t>日印发</w:t>
      </w:r>
    </w:p>
    <w:bookmarkEnd w:id="1"/>
    <w:p>
      <w:pPr>
        <w:pBdr>
          <w:top w:val="single" w:color="auto" w:sz="8" w:space="7"/>
        </w:pBdr>
        <w:overflowPunct w:val="0"/>
        <w:adjustRightInd w:val="0"/>
        <w:snapToGrid w:val="0"/>
        <w:spacing w:beforeLines="0" w:after="0" w:afterLines="0"/>
        <w:ind w:firstLine="0"/>
        <w:jc w:val="left"/>
        <w:rPr>
          <w:rFonts w:hint="eastAsia" w:ascii="仿宋_GB2312" w:hAnsi="Calibri" w:eastAsia="仿宋_GB2312" w:cs="Times New Roman"/>
          <w:spacing w:val="8"/>
          <w:sz w:val="2"/>
          <w:szCs w:val="2"/>
        </w:rPr>
      </w:pPr>
    </w:p>
    <w:sectPr>
      <w:footerReference r:id="rId3" w:type="default"/>
      <w:pgSz w:w="11906" w:h="16838"/>
      <w:pgMar w:top="2097" w:right="1474" w:bottom="1984" w:left="1587" w:header="851" w:footer="1587" w:gutter="0"/>
      <w:pgNumType w:fmt="numberInDash" w:start="1"/>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2010609000101010101"/>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Fonts w:hint="eastAsia" w:ascii="宋体" w:hAnsi="宋体" w:eastAsia="宋体" w:cs="宋体"/>
        <w:sz w:val="28"/>
        <w:lang w:val="en-US"/>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rPr>
                        <w:rFonts w:hint="eastAsia" w:ascii="宋体" w:hAnsi="宋体" w:eastAsia="宋体" w:cs="宋体"/>
                        <w:sz w:val="28"/>
                        <w:lang w:val="en-US"/>
                      </w:rPr>
                    </w:pPr>
                    <w:r>
                      <w:rPr>
                        <w:rFonts w:hint="eastAsia" w:ascii="宋体" w:hAnsi="宋体" w:eastAsia="宋体" w:cs="宋体"/>
                        <w:sz w:val="28"/>
                        <w:lang w:val="en-US"/>
                      </w:rPr>
                      <w:fldChar w:fldCharType="begin"/>
                    </w:r>
                    <w:r>
                      <w:rPr>
                        <w:rFonts w:hint="eastAsia" w:ascii="宋体" w:hAnsi="宋体" w:eastAsia="宋体" w:cs="宋体"/>
                        <w:sz w:val="28"/>
                        <w:lang w:val="en-US"/>
                      </w:rPr>
                      <w:instrText xml:space="preserve"> PAGE  \* MERGEFORMAT </w:instrText>
                    </w:r>
                    <w:r>
                      <w:rPr>
                        <w:rFonts w:hint="eastAsia" w:ascii="宋体" w:hAnsi="宋体" w:eastAsia="宋体" w:cs="宋体"/>
                        <w:sz w:val="28"/>
                        <w:lang w:val="en-US"/>
                      </w:rPr>
                      <w:fldChar w:fldCharType="separate"/>
                    </w:r>
                    <w:r>
                      <w:rPr>
                        <w:rFonts w:hint="eastAsia" w:ascii="宋体" w:hAnsi="宋体" w:eastAsia="宋体" w:cs="宋体"/>
                        <w:sz w:val="28"/>
                        <w:lang w:val="en-US"/>
                      </w:rPr>
                      <w:t>- 1 -</w:t>
                    </w:r>
                    <w:r>
                      <w:rPr>
                        <w:rFonts w:hint="eastAsia" w:ascii="宋体" w:hAnsi="宋体" w:eastAsia="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HorizontalSpacing w:val="210"/>
  <w:drawingGridVerticalSpacing w:val="159"/>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F7A121"/>
    <w:rsid w:val="27BB3369"/>
    <w:rsid w:val="377D42BE"/>
    <w:rsid w:val="4EDE0E2F"/>
    <w:rsid w:val="4F8A51D6"/>
    <w:rsid w:val="6B75C8B6"/>
    <w:rsid w:val="7F3F8FE8"/>
    <w:rsid w:val="A6BE523C"/>
    <w:rsid w:val="BFFBEB0E"/>
    <w:rsid w:val="EBF7A121"/>
    <w:rsid w:val="FFEFD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customStyle="1" w:styleId="7">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2026-01-19T09:13:00Z</dcterms:created>
  <dc:creator>李煜铭</dc:creator>
  <cp:lastModifiedBy>于晓雷</cp:lastModifiedBy>
  <dcterms:modified xsi:type="dcterms:W3CDTF">2026-02-25T15:44:02Z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5DFDF4BEE54029A27F619D69410F9F9B</vt:lpwstr>
  </property>
</Properties>
</file>