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420"/>
        </w:tabs>
        <w:jc w:val="center"/>
        <w:rPr>
          <w:rFonts w:hint="eastAsia" w:ascii="方正小标宋简体" w:hAnsi="方正小标宋简体" w:eastAsia="方正小标宋简体" w:cs="Times New Roman"/>
          <w:b/>
          <w:color w:val="FF0000"/>
          <w:w w:val="95"/>
          <w:kern w:val="0"/>
          <w:sz w:val="44"/>
          <w:szCs w:val="116"/>
        </w:rPr>
      </w:pPr>
      <w:r>
        <w:rPr>
          <w:rFonts w:hint="eastAsia" w:ascii="方正小标宋简体" w:hAnsi="方正小标宋简体" w:eastAsia="方正小标宋简体" w:cs="黑体"/>
          <w:b/>
          <w:color w:val="FF0000"/>
          <w:w w:val="95"/>
          <w:sz w:val="44"/>
          <w:szCs w:val="72"/>
        </w:rPr>
        <w:t>中国证券监督管理委员会广东监管局</w:t>
      </w:r>
    </w:p>
    <w:p>
      <w:pPr>
        <w:jc w:val="center"/>
        <w:rPr>
          <w:rFonts w:hint="eastAsia" w:ascii="方正小标宋简体" w:hAnsi="方正小标宋简体" w:eastAsia="方正小标宋简体" w:cs="Times New Roman"/>
          <w:snapToGrid w:val="0"/>
          <w:spacing w:val="85"/>
          <w:w w:val="90"/>
          <w:sz w:val="72"/>
          <w:szCs w:val="72"/>
        </w:rPr>
      </w:pPr>
      <w:r>
        <w:rPr>
          <w:rFonts w:hint="eastAsia" w:ascii="方正小标宋简体" w:hAnsi="方正小标宋简体" w:eastAsia="方正小标宋简体" w:cs="Times New Roman"/>
          <w:b/>
          <w:bCs/>
          <w:snapToGrid w:val="0"/>
          <w:color w:val="FF0000"/>
          <w:spacing w:val="85"/>
          <w:w w:val="90"/>
          <w:sz w:val="72"/>
          <w:szCs w:val="72"/>
        </w:rPr>
        <w:t>行政监管措施决定书</w:t>
      </w:r>
    </w:p>
    <w:p>
      <w:pPr>
        <w:snapToGrid w:val="0"/>
        <w:jc w:val="center"/>
        <w:rPr>
          <w:rFonts w:hint="eastAsia" w:ascii="仿宋_GB2312" w:hAnsi="仿宋_GB2312" w:eastAsia="仿宋_GB2312" w:cs="宋体"/>
          <w:sz w:val="28"/>
          <w:szCs w:val="28"/>
        </w:rPr>
      </w:pPr>
    </w:p>
    <w:p>
      <w:pPr>
        <w:snapToGrid w:val="0"/>
        <w:spacing w:before="156" w:beforeLines="50" w:line="300" w:lineRule="auto"/>
        <w:jc w:val="center"/>
        <w:rPr>
          <w:rFonts w:ascii="黑体" w:hAnsi="Times New Roman" w:eastAsia="黑体" w:cs="Times New Roman"/>
          <w:color w:val="000000"/>
          <w:spacing w:val="12"/>
          <w:sz w:val="32"/>
          <w:szCs w:val="20"/>
        </w:rPr>
      </w:pPr>
      <w:bookmarkStart w:id="2" w:name="_GoBack"/>
      <w:bookmarkStart w:id="0" w:name="WH"/>
      <w:bookmarkEnd w:id="0"/>
      <w:r>
        <w:rPr>
          <w:rFonts w:hint="eastAsia" w:ascii="仿宋_GB2312" w:hAnsi="Times New Roman" w:eastAsia="仿宋_GB2312" w:cs="Times New Roman"/>
          <w:color w:val="000000"/>
          <w:spacing w:val="12"/>
          <w:sz w:val="28"/>
          <w:szCs w:val="20"/>
        </w:rPr>
        <w:t>〔20</w:t>
      </w:r>
      <w:r>
        <w:rPr>
          <w:rFonts w:hint="default" w:ascii="仿宋_GB2312" w:hAnsi="Times New Roman" w:eastAsia="仿宋_GB2312" w:cs="Times New Roman"/>
          <w:color w:val="000000"/>
          <w:spacing w:val="12"/>
          <w:sz w:val="28"/>
          <w:szCs w:val="20"/>
          <w:lang w:val="en-US"/>
        </w:rPr>
        <w:t>26</w:t>
      </w:r>
      <w:r>
        <w:rPr>
          <w:rFonts w:hint="eastAsia" w:ascii="仿宋_GB2312" w:hAnsi="Times New Roman" w:eastAsia="仿宋_GB2312" w:cs="Times New Roman"/>
          <w:color w:val="000000"/>
          <w:spacing w:val="12"/>
          <w:sz w:val="28"/>
          <w:szCs w:val="20"/>
        </w:rPr>
        <w:t>〕</w:t>
      </w:r>
      <w:r>
        <w:rPr>
          <w:rFonts w:hint="default" w:ascii="仿宋_GB2312" w:hAnsi="Times New Roman" w:eastAsia="仿宋_GB2312" w:cs="Times New Roman"/>
          <w:color w:val="000000"/>
          <w:spacing w:val="12"/>
          <w:sz w:val="28"/>
          <w:szCs w:val="20"/>
          <w:lang w:val="en-US"/>
        </w:rPr>
        <w:t>19</w:t>
      </w:r>
      <w:r>
        <w:rPr>
          <w:rFonts w:hint="eastAsia" w:ascii="仿宋_GB2312" w:hAnsi="Times New Roman" w:eastAsia="仿宋_GB2312" w:cs="Times New Roman"/>
          <w:color w:val="000000"/>
          <w:spacing w:val="12"/>
          <w:sz w:val="28"/>
          <w:szCs w:val="20"/>
        </w:rPr>
        <w:t>号</w:t>
      </w:r>
    </w:p>
    <w:bookmarkEnd w:id="2"/>
    <w:p>
      <w:pPr>
        <w:snapToGrid w:val="0"/>
        <w:jc w:val="center"/>
        <w:rPr>
          <w:rFonts w:hint="eastAsia" w:ascii="仿宋_GB2312" w:hAnsi="仿宋_GB2312" w:eastAsia="仿宋_GB2312" w:cs="Times New Roman"/>
          <w:sz w:val="28"/>
          <w:szCs w:val="28"/>
        </w:rPr>
      </w:pPr>
      <w:r>
        <w:rPr>
          <w:rFonts w:ascii="Times New Roman" w:hAnsi="Times New Roman" w:eastAsia="宋体" w:cs="Times New Roman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80645</wp:posOffset>
                </wp:positionH>
                <wp:positionV relativeFrom="paragraph">
                  <wp:posOffset>128905</wp:posOffset>
                </wp:positionV>
                <wp:extent cx="5551805" cy="635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51805" cy="635"/>
                        </a:xfrm>
                        <a:prstGeom prst="line">
                          <a:avLst/>
                        </a:prstGeom>
                        <a:ln w="12700" cap="flat" cmpd="sng">
                          <a:solidFill>
                            <a:srgbClr val="FF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6.35pt;margin-top:10.15pt;height:0.05pt;width:437.15pt;z-index:251659264;mso-width-relative:page;mso-height-relative:page;" filled="f" stroked="t" coordsize="21600,21600" o:gfxdata="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BYAAABkcnMvUEsBAhQAFAAAAAgAh07iQMwvtZLWAAAACAEAAA8AAAAAAAAA&#10;AQAgAAAAOAAAAGRycy9kb3ducmV2LnhtbFBLAQIUABQAAAAIAIdO4kAV8uZj/QEAAPUDAAAOAAAA&#10;AAAAAAEAIAAAADsBAABkcnMvZTJvRG9jLnhtbFBLBQYAAAAABgAGAFkBAACqBQAAAAA=&#10;">
                <v:fill on="f" focussize="0,0"/>
                <v:stroke weight="1pt" color="#FF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 w:ascii="Times New Roman" w:hAnsi="Times New Roman" w:eastAsia="宋体" w:cs="Times New Roman"/>
          <w:sz w:val="28"/>
          <w:szCs w:val="28"/>
        </w:rPr>
      </w:pPr>
    </w:p>
    <w:p>
      <w:pPr>
        <w:widowControl w:val="0"/>
        <w:wordWrap/>
        <w:adjustRightInd w:val="0"/>
        <w:snapToGrid w:val="0"/>
        <w:spacing w:beforeLines="0" w:afterLines="0" w:line="240" w:lineRule="auto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bookmarkStart w:id="1" w:name="quanwen"/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关于对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中山华慧企业管理咨询合伙企业</w:t>
      </w:r>
    </w:p>
    <w:p>
      <w:pPr>
        <w:widowControl w:val="0"/>
        <w:wordWrap/>
        <w:adjustRightInd w:val="0"/>
        <w:snapToGrid w:val="0"/>
        <w:spacing w:beforeLines="0" w:afterLines="0" w:line="240" w:lineRule="auto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（有限合伙）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采取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责令购回并上缴</w:t>
      </w:r>
    </w:p>
    <w:p>
      <w:pPr>
        <w:widowControl w:val="0"/>
        <w:wordWrap/>
        <w:adjustRightInd w:val="0"/>
        <w:snapToGrid w:val="0"/>
        <w:spacing w:beforeLines="0" w:afterLines="0" w:line="240" w:lineRule="auto"/>
        <w:jc w:val="center"/>
        <w:textAlignment w:val="auto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价差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措施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  <w:lang w:eastAsia="zh-CN"/>
        </w:rPr>
        <w:t>的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highlight w:val="none"/>
        </w:rPr>
        <w:t>决定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240" w:lineRule="auto"/>
        <w:ind w:left="0" w:leftChars="0" w:right="0" w:firstLine="0" w:firstLineChars="0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pacing w:val="0"/>
          <w:sz w:val="32"/>
          <w:szCs w:val="30"/>
          <w:highlight w:val="none"/>
          <w:lang w:val="en-US" w:eastAsia="zh-CN"/>
        </w:rPr>
      </w:pPr>
    </w:p>
    <w:p>
      <w:pPr>
        <w:numPr>
          <w:ilvl w:val="0"/>
          <w:numId w:val="0"/>
        </w:numPr>
        <w:wordWrap/>
        <w:overflowPunct w:val="0"/>
        <w:adjustRightInd w:val="0"/>
        <w:snapToGrid w:val="0"/>
        <w:spacing w:beforeLines="0" w:afterLines="0" w:line="336" w:lineRule="auto"/>
        <w:ind w:left="0" w:leftChars="0" w:right="0" w:firstLine="0" w:firstLineChars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pacing w:val="0"/>
          <w:sz w:val="32"/>
          <w:szCs w:val="32"/>
          <w:highlight w:val="none"/>
          <w:lang w:val="en-US" w:eastAsia="zh-CN"/>
        </w:rPr>
        <w:t>中山华慧企业管理咨询合伙企业（有限合伙）：</w:t>
      </w:r>
    </w:p>
    <w:p>
      <w:pPr>
        <w:overflowPunct w:val="0"/>
        <w:adjustRightInd w:val="0"/>
        <w:snapToGrid w:val="0"/>
        <w:spacing w:beforeLines="0" w:afterLines="0" w:line="336" w:lineRule="auto"/>
        <w:ind w:firstLine="640" w:firstLineChars="200"/>
        <w:outlineLvl w:val="9"/>
        <w:rPr>
          <w:rFonts w:hint="default" w:ascii="仿宋_GB2312" w:hAnsi="仿宋_GB2312" w:eastAsia="仿宋_GB2312" w:cs="仿宋_GB2312"/>
          <w:kern w:val="2"/>
          <w:sz w:val="32"/>
          <w:szCs w:val="32"/>
          <w:highlight w:val="none"/>
          <w:lang w:val="en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经查，你企业作为广东明阳电气股份有限公司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（以下简称明阳电气或公司）首次公开发行股票上市前股东，在公司招股说明书中承诺通过证券交易所集中竞价减持股份时，将在首次卖出的15个交易日前向深圳证券交易所报告并预先披露减持计划。2025年12月1日，你企业预先披露减持计划，计划以集中竞价方式减持“明阳电气”股票100万股，12月9日，你企业减持“明阳电气”股票100.5万股，距预披露时间不足15个交易日，且超过减持计划0.5万股。12月10日，你企业购回0.5万股超额减持的股票。上述行为违反了《上市公司股东减持股份管理暂行办法》（证监会令第227号，下同）第四条第二款的规定。</w:t>
      </w:r>
    </w:p>
    <w:p>
      <w:pPr>
        <w:overflowPunct w:val="0"/>
        <w:adjustRightInd w:val="0"/>
        <w:snapToGrid w:val="0"/>
        <w:spacing w:beforeLines="0" w:afterLines="0" w:line="336" w:lineRule="auto"/>
        <w:ind w:firstLine="640" w:firstLineChars="200"/>
        <w:outlineLvl w:val="9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根据《上市公司股东减持股份管理暂行办法》第二十九条的规定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我局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决定对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"/>
        </w:rPr>
        <w:t>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" w:eastAsia="zh-CN"/>
        </w:rPr>
        <w:t>企业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采取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责令购回并上缴价差的行政监管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措施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，责令你企业自收到本决定书之日起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个交易日内购回违规减持股份并向明阳电气上缴价差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。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eastAsia="zh-CN"/>
        </w:rPr>
        <w:t>你企业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</w:rPr>
        <w:t>应认真吸取教训，加强证券法律法规学习，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eastAsia="zh-CN"/>
        </w:rPr>
        <w:t>切实规范减持上市公司股份行为，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</w:rPr>
        <w:t>依法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eastAsia="zh-CN"/>
        </w:rPr>
        <w:t>依规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</w:rPr>
        <w:t>履行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eastAsia="zh-CN"/>
        </w:rPr>
        <w:t>相关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</w:rPr>
        <w:t>信息披露义务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lang w:eastAsia="zh-CN"/>
        </w:rPr>
        <w:t>，杜绝此类违规行为再次发生。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同时，</w:t>
      </w:r>
      <w:r>
        <w:rPr>
          <w:rFonts w:hint="default" w:ascii="仿宋_GB2312" w:hAnsi="仿宋_GB2312" w:eastAsia="仿宋_GB2312" w:cs="仿宋_GB2312"/>
          <w:sz w:val="32"/>
          <w:szCs w:val="32"/>
          <w:highlight w:val="none"/>
          <w:lang w:val="en" w:eastAsia="zh-CN"/>
        </w:rPr>
        <w:t>你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" w:eastAsia="zh-CN"/>
        </w:rPr>
        <w:t>企业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应于收到本决定书15日内向我局报送整改报告，并抄报深圳证券交易所。</w:t>
      </w:r>
    </w:p>
    <w:p>
      <w:pPr>
        <w:overflowPunct w:val="0"/>
        <w:adjustRightInd w:val="0"/>
        <w:snapToGrid w:val="0"/>
        <w:spacing w:beforeLines="0" w:afterLines="0" w:line="336" w:lineRule="auto"/>
        <w:ind w:firstLine="640"/>
        <w:jc w:val="both"/>
        <w:outlineLvl w:val="9"/>
        <w:rPr>
          <w:rFonts w:hint="eastAsia" w:ascii="宋体" w:hAnsi="宋体" w:eastAsia="宋体" w:cs="宋体"/>
          <w:color w:val="auto"/>
          <w:sz w:val="28"/>
          <w:szCs w:val="28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  <w:t>如果对本监督管理措施不服，可以在收到本决定书之日起60日内向中国证券监督管理委员会提出行政复议申请,也可以在收到本决定书之日起6个月内向有管辖权的人民法院提起诉讼。复议与诉讼期间，上述监督管理措施不停止执行。</w:t>
      </w:r>
    </w:p>
    <w:p>
      <w:pPr>
        <w:widowControl w:val="0"/>
        <w:overflowPunct w:val="0"/>
        <w:snapToGrid w:val="0"/>
        <w:spacing w:line="336" w:lineRule="auto"/>
        <w:jc w:val="both"/>
        <w:rPr>
          <w:rFonts w:hint="eastAsia" w:ascii="仿宋_GB2312" w:hAnsi="仿宋_GB2312" w:eastAsia="仿宋_GB2312" w:cs="仿宋_GB2312"/>
          <w:color w:val="auto"/>
          <w:kern w:val="2"/>
          <w:sz w:val="24"/>
          <w:szCs w:val="24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36" w:lineRule="auto"/>
        <w:jc w:val="left"/>
        <w:textAlignment w:val="auto"/>
        <w:rPr>
          <w:rFonts w:ascii="宋体" w:hAnsi="宋体" w:eastAsia="宋体" w:cs="宋体"/>
          <w:color w:val="000000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336" w:lineRule="auto"/>
        <w:jc w:val="left"/>
        <w:textAlignment w:val="auto"/>
        <w:rPr>
          <w:rFonts w:ascii="宋体" w:hAnsi="宋体" w:eastAsia="宋体" w:cs="宋体"/>
          <w:color w:val="000000"/>
          <w:sz w:val="24"/>
          <w:szCs w:val="24"/>
        </w:rPr>
      </w:pPr>
    </w:p>
    <w:p>
      <w:pPr>
        <w:overflowPunct w:val="0"/>
        <w:adjustRightInd w:val="0"/>
        <w:snapToGrid w:val="0"/>
        <w:spacing w:line="336" w:lineRule="auto"/>
        <w:ind w:right="1705"/>
        <w:jc w:val="right"/>
        <w:rPr>
          <w:rFonts w:hint="eastAsia" w:ascii="仿宋_GB2312" w:hAnsi="Times New Roman" w:eastAsia="仿宋_GB2312" w:cs="Times New Roman"/>
          <w:color w:val="000000"/>
          <w:sz w:val="32"/>
          <w:szCs w:val="20"/>
        </w:rPr>
      </w:pPr>
      <w:r>
        <w:rPr>
          <w:rFonts w:hint="eastAsia" w:ascii="仿宋_GB2312" w:hAnsi="Times New Roman" w:eastAsia="仿宋_GB2312" w:cs="Times New Roman"/>
          <w:color w:val="000000"/>
          <w:sz w:val="32"/>
          <w:szCs w:val="20"/>
        </w:rPr>
        <w:t>广东证监局</w:t>
      </w:r>
    </w:p>
    <w:p>
      <w:pPr>
        <w:numPr>
          <w:ilvl w:val="0"/>
          <w:numId w:val="0"/>
        </w:numPr>
        <w:pBdr>
          <w:top w:val="none" w:color="auto" w:sz="0" w:space="0"/>
          <w:bottom w:val="none" w:color="auto" w:sz="0" w:space="0"/>
        </w:pBdr>
        <w:overflowPunct w:val="0"/>
        <w:adjustRightInd w:val="0"/>
        <w:snapToGrid w:val="0"/>
        <w:spacing w:beforeLines="0" w:afterLines="0" w:line="336" w:lineRule="auto"/>
        <w:jc w:val="center"/>
        <w:outlineLvl w:val="9"/>
        <w:rPr>
          <w:rFonts w:ascii="Times New Roman" w:hAnsi="Times New Roman" w:eastAsia="宋体" w:cs="Times New Roman"/>
          <w:szCs w:val="20"/>
        </w:rPr>
      </w:pPr>
      <w:r>
        <w:rPr>
          <w:rFonts w:hint="eastAsia" w:ascii="仿宋_GB2312" w:hAnsi="Times New Roman" w:eastAsia="仿宋_GB2312" w:cs="Times New Roman"/>
          <w:color w:val="000000"/>
          <w:spacing w:val="10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 xml:space="preserve">         </w:t>
      </w:r>
      <w:r>
        <w:rPr>
          <w:rFonts w:hint="default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 xml:space="preserve">     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eastAsia="zh-CN"/>
        </w:rPr>
        <w:t>2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>026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</w:rPr>
        <w:t>年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>1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</w:rPr>
        <w:t>月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  <w:lang w:val="en-US" w:eastAsia="zh-CN"/>
        </w:rPr>
        <w:t>29</w:t>
      </w:r>
      <w:r>
        <w:rPr>
          <w:rFonts w:hint="eastAsia" w:ascii="仿宋_GB2312" w:hAnsi="Times New Roman" w:eastAsia="仿宋_GB2312" w:cs="Times New Roman"/>
          <w:color w:val="000000"/>
          <w:spacing w:val="1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36" w:lineRule="auto"/>
        <w:ind w:right="28"/>
        <w:jc w:val="left"/>
        <w:textAlignment w:val="auto"/>
        <w:rPr>
          <w:rFonts w:hint="eastAsia" w:ascii="黑体" w:hAnsi="Times New Roman" w:eastAsia="黑体" w:cs="Times New Roman"/>
          <w:spacing w:val="8"/>
          <w:sz w:val="32"/>
          <w:szCs w:val="20"/>
        </w:rPr>
      </w:pPr>
    </w:p>
    <w:p>
      <w:pPr>
        <w:snapToGrid w:val="0"/>
        <w:spacing w:line="240" w:lineRule="auto"/>
        <w:ind w:right="26"/>
        <w:jc w:val="left"/>
        <w:rPr>
          <w:rFonts w:hint="eastAsia" w:ascii="黑体" w:hAnsi="Times New Roman" w:eastAsia="黑体" w:cs="Times New Roman"/>
          <w:spacing w:val="8"/>
          <w:sz w:val="28"/>
          <w:szCs w:val="22"/>
        </w:rPr>
      </w:pPr>
    </w:p>
    <w:p>
      <w:pPr>
        <w:keepNext w:val="0"/>
        <w:keepLines w:val="0"/>
        <w:pageBreakBefore w:val="0"/>
        <w:widowControl w:val="0"/>
        <w:pBdr>
          <w:top w:val="single" w:color="auto" w:sz="8" w:space="6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9" w:afterLines="35" w:line="240" w:lineRule="auto"/>
        <w:ind w:firstLine="296" w:firstLineChars="100"/>
        <w:textAlignment w:val="auto"/>
        <w:rPr>
          <w:rFonts w:ascii="长城仿宋" w:hAnsi="Times New Roman" w:eastAsia="长城仿宋" w:cs="Times New Roman"/>
          <w:sz w:val="28"/>
          <w:szCs w:val="20"/>
        </w:rPr>
      </w:pPr>
      <w:r>
        <w:rPr>
          <w:rFonts w:hint="eastAsia" w:ascii="仿宋_GB2312" w:hAnsi="Times New Roman" w:eastAsia="仿宋_GB2312" w:cs="Times New Roman"/>
          <w:spacing w:val="8"/>
          <w:sz w:val="28"/>
          <w:szCs w:val="20"/>
        </w:rPr>
        <w:t>抄送：证监会上市司、法治司；深圳证券交易所。</w:t>
      </w:r>
    </w:p>
    <w:p>
      <w:pPr>
        <w:keepNext w:val="0"/>
        <w:keepLines w:val="0"/>
        <w:pageBreakBefore w:val="0"/>
        <w:widowControl w:val="0"/>
        <w:pBdr>
          <w:top w:val="single" w:color="auto" w:sz="4" w:space="6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109" w:afterLines="35" w:line="240" w:lineRule="auto"/>
        <w:ind w:firstLine="296" w:firstLineChars="100"/>
        <w:jc w:val="left"/>
        <w:textAlignment w:val="auto"/>
        <w:rPr>
          <w:rFonts w:hint="eastAsia" w:ascii="仿宋_GB2312" w:hAnsi="Times New Roman" w:eastAsia="仿宋_GB2312" w:cs="Times New Roman"/>
          <w:spacing w:val="8"/>
          <w:sz w:val="28"/>
          <w:szCs w:val="20"/>
        </w:rPr>
      </w:pPr>
      <w:r>
        <w:rPr>
          <w:rFonts w:hint="eastAsia" w:ascii="仿宋_GB2312" w:hAnsi="Times New Roman" w:eastAsia="仿宋_GB2312" w:cs="Times New Roman"/>
          <w:spacing w:val="8"/>
          <w:sz w:val="28"/>
          <w:szCs w:val="20"/>
        </w:rPr>
        <w:t xml:space="preserve">广东证监局办公室              </w:t>
      </w:r>
      <w:r>
        <w:rPr>
          <w:rFonts w:hint="default" w:ascii="仿宋_GB2312" w:hAnsi="Times New Roman" w:eastAsia="仿宋_GB2312" w:cs="Times New Roman"/>
          <w:spacing w:val="8"/>
          <w:sz w:val="28"/>
          <w:szCs w:val="20"/>
          <w:lang w:val="en-US"/>
        </w:rPr>
        <w:t xml:space="preserve">    </w:t>
      </w:r>
      <w:r>
        <w:rPr>
          <w:rFonts w:hint="eastAsia" w:ascii="仿宋_GB2312" w:hAnsi="Times New Roman" w:eastAsia="仿宋_GB2312" w:cs="Times New Roman"/>
          <w:spacing w:val="8"/>
          <w:sz w:val="28"/>
          <w:szCs w:val="20"/>
        </w:rPr>
        <w:t xml:space="preserve"> </w:t>
      </w:r>
      <w:r>
        <w:rPr>
          <w:rFonts w:hint="default" w:ascii="仿宋_GB2312" w:hAnsi="Times New Roman" w:eastAsia="仿宋_GB2312" w:cs="Times New Roman"/>
          <w:spacing w:val="8"/>
          <w:sz w:val="28"/>
          <w:szCs w:val="20"/>
          <w:lang w:val="en" w:eastAsia="zh-CN"/>
        </w:rPr>
        <w:t>202</w:t>
      </w:r>
      <w:r>
        <w:rPr>
          <w:rFonts w:hint="eastAsia" w:ascii="仿宋_GB2312" w:hAnsi="Times New Roman" w:eastAsia="仿宋_GB2312" w:cs="Times New Roman"/>
          <w:spacing w:val="8"/>
          <w:sz w:val="28"/>
          <w:szCs w:val="20"/>
          <w:lang w:val="en-US" w:eastAsia="zh-CN"/>
        </w:rPr>
        <w:t>6</w:t>
      </w:r>
      <w:r>
        <w:rPr>
          <w:rFonts w:hint="eastAsia" w:ascii="仿宋_GB2312" w:hAnsi="Times New Roman" w:eastAsia="仿宋_GB2312" w:cs="Times New Roman"/>
          <w:spacing w:val="8"/>
          <w:sz w:val="28"/>
          <w:szCs w:val="20"/>
        </w:rPr>
        <w:t>年</w:t>
      </w:r>
      <w:r>
        <w:rPr>
          <w:rFonts w:hint="eastAsia" w:ascii="仿宋_GB2312" w:hAnsi="Times New Roman" w:eastAsia="仿宋_GB2312" w:cs="Times New Roman"/>
          <w:spacing w:val="8"/>
          <w:sz w:val="28"/>
          <w:szCs w:val="20"/>
          <w:lang w:val="en-US" w:eastAsia="zh-CN"/>
        </w:rPr>
        <w:t>1月</w:t>
      </w:r>
      <w:r>
        <w:rPr>
          <w:rFonts w:hint="default" w:ascii="仿宋_GB2312" w:hAnsi="Times New Roman" w:eastAsia="仿宋_GB2312" w:cs="Times New Roman"/>
          <w:spacing w:val="8"/>
          <w:sz w:val="28"/>
          <w:szCs w:val="20"/>
          <w:lang w:val="en-US" w:eastAsia="zh-CN"/>
        </w:rPr>
        <w:t>30</w:t>
      </w:r>
      <w:r>
        <w:rPr>
          <w:rFonts w:hint="eastAsia" w:ascii="仿宋_GB2312" w:hAnsi="Times New Roman" w:eastAsia="仿宋_GB2312" w:cs="Times New Roman"/>
          <w:spacing w:val="8"/>
          <w:sz w:val="28"/>
          <w:szCs w:val="20"/>
        </w:rPr>
        <w:t>日印发</w:t>
      </w:r>
    </w:p>
    <w:bookmarkEnd w:id="1"/>
    <w:p>
      <w:pPr>
        <w:keepNext w:val="0"/>
        <w:keepLines w:val="0"/>
        <w:pageBreakBefore w:val="0"/>
        <w:widowControl w:val="0"/>
        <w:pBdr>
          <w:top w:val="single" w:color="auto" w:sz="8" w:space="7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240" w:lineRule="auto"/>
        <w:ind w:firstLine="0"/>
        <w:jc w:val="left"/>
        <w:textAlignment w:val="auto"/>
        <w:rPr>
          <w:rFonts w:hint="eastAsia" w:ascii="仿宋_GB2312" w:hAnsi="Times New Roman" w:eastAsia="仿宋_GB2312" w:cs="Times New Roman"/>
          <w:spacing w:val="8"/>
          <w:sz w:val="2"/>
          <w:szCs w:val="2"/>
        </w:rPr>
      </w:pPr>
    </w:p>
    <w:sectPr>
      <w:footerReference r:id="rId3" w:type="default"/>
      <w:pgSz w:w="11906" w:h="16838"/>
      <w:pgMar w:top="2097" w:right="1474" w:bottom="1984" w:left="1587" w:header="851" w:footer="1587" w:gutter="0"/>
      <w:pgNumType w:fmt="numberInDash"/>
      <w:cols w:space="0" w:num="1"/>
      <w:rtlGutter w:val="0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长城仿宋">
    <w:altName w:val="方正仿宋_GBK"/>
    <w:panose1 w:val="02010609000101010101"/>
    <w:charset w:val="86"/>
    <w:family w:val="auto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240" w:lineRule="auto"/>
      <w:rPr>
        <w:rFonts w:hint="eastAsia" w:ascii="宋体" w:hAnsi="宋体" w:eastAsia="宋体" w:cs="宋体"/>
        <w:sz w:val="28"/>
        <w:lang w:val="en-US"/>
      </w:rPr>
    </w:pPr>
    <w:r>
      <w:rPr>
        <w:rFonts w:hint="eastAsia" w:ascii="宋体" w:hAnsi="宋体" w:eastAsia="宋体" w:cs="宋体"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align>top</wp:align>
              </wp:positionV>
              <wp:extent cx="1828800" cy="1828800"/>
              <wp:effectExtent l="4445" t="4445" r="14605" b="14605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height:144pt;width:144pt;mso-position-horizontal:outside;mso-position-horizontal-relative:margin;mso-position-vertical:top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dit="readOnly" w:enforcement="0"/>
  <w:defaultTabStop w:val="420"/>
  <w:drawingGridHorizontalSpacing w:val="210"/>
  <w:drawingGridVerticalSpacing w:val="159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D7CDDC"/>
    <w:rsid w:val="36B17FB7"/>
    <w:rsid w:val="3FFE3CFD"/>
    <w:rsid w:val="6FD7CDDC"/>
    <w:rsid w:val="7F9B211F"/>
    <w:rsid w:val="7FBB7E42"/>
    <w:rsid w:val="7FEF6D76"/>
    <w:rsid w:val="CFBF6335"/>
    <w:rsid w:val="DFDA779D"/>
    <w:rsid w:val="FDBF2A95"/>
    <w:rsid w:val="FF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kern w:val="2"/>
      <w:sz w:val="18"/>
      <w:szCs w:val="24"/>
      <w:lang w:val="en-US" w:eastAsia="zh-CN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NormalIndent"/>
    <w:next w:val="1"/>
    <w:qFormat/>
    <w:uiPriority w:val="0"/>
    <w:pPr>
      <w:widowControl w:val="0"/>
      <w:spacing w:line="240" w:lineRule="auto"/>
      <w:ind w:firstLine="420"/>
      <w:jc w:val="both"/>
      <w:textAlignment w:val="baseline"/>
    </w:pPr>
    <w:rPr>
      <w:rFonts w:ascii="宋体" w:hAnsi="Calibri" w:eastAsia="宋体" w:cs="Times New Roman"/>
      <w:kern w:val="0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85</TotalTime>
  <ScaleCrop>false</ScaleCrop>
  <LinksUpToDate>false</LinksUpToDate>
  <CharactersWithSpaces>0</CharactersWithSpaces>
  <Application>WPS Office_11.8.2.11929_F1E327BC-269C-435d-A152-05C5408002CA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2026-01-01T09:35:00Z</dcterms:created>
  <dc:creator>刘林</dc:creator>
  <cp:lastModifiedBy>于晓雷</cp:lastModifiedBy>
  <dcterms:modified xsi:type="dcterms:W3CDTF">2026-02-09T17:18:55Z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2052-11.8.2.11929</vt:lpwstr>
  </property>
  <property fmtid="{D5CDD505-2E9C-101B-9397-08002B2CF9AE}" pid="3" name="ICV">
    <vt:lpwstr>A484B68FC89B2B6D7CBF596910293B06</vt:lpwstr>
  </property>
</Properties>
</file>