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bookmarkStart w:id="2" w:name="_GoBack"/>
      <w:bookmarkEnd w:id="2"/>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15</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ML7WS1gAAAAgBAAAPAAAAAAAAAAEAIAAAADgAAABkcnMvZG93bnJldi54bWxQ&#10;SwECFAAUAAAACACHTuJAIhmvX+MBAACqAwAADgAAAAAAAAABACAAAAA7AQAAZHJzL2Uyb0RvYy54&#10;bWxQSwUGAAAAAAYABgBZAQAAkAUAAAAA&#10;">
                <v:fill on="f" focussize="0,0"/>
                <v:stroke weight="1pt" color="#FF0000" joinstyle="round"/>
                <v:imagedata o:title=""/>
                <o:lock v:ext="edit" aspectratio="f"/>
              </v:line>
            </w:pict>
          </mc:Fallback>
        </mc:AlternateContent>
      </w:r>
    </w:p>
    <w:p>
      <w:pPr>
        <w:jc w:val="center"/>
        <w:rPr>
          <w:rFonts w:hint="eastAsia"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bookmarkStart w:id="1" w:name="quanwen"/>
      <w:r>
        <w:rPr>
          <w:rFonts w:hint="eastAsia" w:ascii="方正小标宋简体" w:hAnsi="方正小标宋简体" w:eastAsia="方正小标宋简体" w:cs="方正小标宋简体"/>
          <w:sz w:val="44"/>
          <w:szCs w:val="44"/>
        </w:rPr>
        <w:t>关于对</w:t>
      </w:r>
      <w:r>
        <w:rPr>
          <w:rFonts w:hint="eastAsia" w:ascii="方正小标宋简体" w:hAnsi="方正小标宋简体" w:eastAsia="方正小标宋简体" w:cs="Times New Roman"/>
          <w:color w:val="000000"/>
          <w:spacing w:val="-17"/>
          <w:sz w:val="44"/>
          <w:szCs w:val="22"/>
          <w:highlight w:val="none"/>
          <w:lang w:val="en-US" w:eastAsia="zh-CN"/>
        </w:rPr>
        <w:t>广东司农会计师事务所（特殊普通合伙）</w:t>
      </w:r>
      <w:r>
        <w:rPr>
          <w:rFonts w:hint="eastAsia" w:ascii="方正小标宋简体" w:hAnsi="方正小标宋简体" w:eastAsia="方正小标宋简体" w:cs="方正小标宋简体"/>
          <w:sz w:val="44"/>
          <w:szCs w:val="44"/>
        </w:rPr>
        <w:t>及相关人员采取出具警示函措施的决定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kinsoku/>
        <w:wordWrap/>
        <w:overflowPunct w:val="0"/>
        <w:topLinePunct w:val="0"/>
        <w:autoSpaceDE/>
        <w:autoSpaceDN/>
        <w:bidi w:val="0"/>
        <w:adjustRightInd/>
        <w:snapToGrid w:val="0"/>
        <w:spacing w:beforeLines="0" w:afterLines="0" w:line="336" w:lineRule="auto"/>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广东司农会计师事务所</w:t>
      </w:r>
      <w:r>
        <w:rPr>
          <w:rFonts w:hint="eastAsia" w:ascii="仿宋_GB2312" w:hAnsi="仿宋_GB2312" w:eastAsia="仿宋_GB2312" w:cs="Times New Roman"/>
          <w:color w:val="000000"/>
          <w:spacing w:val="0"/>
          <w:sz w:val="32"/>
          <w:szCs w:val="24"/>
          <w:highlight w:val="none"/>
          <w:lang w:eastAsia="zh-CN"/>
        </w:rPr>
        <w:t>（特殊普通合伙）</w:t>
      </w:r>
      <w:r>
        <w:rPr>
          <w:rFonts w:hint="eastAsia" w:ascii="仿宋_GB2312" w:hAnsi="仿宋_GB2312" w:eastAsia="仿宋_GB2312" w:cs="仿宋_GB2312"/>
          <w:sz w:val="32"/>
          <w:szCs w:val="32"/>
          <w:highlight w:val="none"/>
          <w:lang w:val="en-US" w:eastAsia="zh-CN"/>
        </w:rPr>
        <w:t>、刘火旺、张抒雯、陈皓淳、耿启庆：</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根据《中华人民共和国证券法》有关规定，我局牵头对</w:t>
      </w:r>
      <w:r>
        <w:rPr>
          <w:rFonts w:hint="eastAsia" w:ascii="仿宋_GB2312" w:hAnsi="仿宋_GB2312" w:eastAsia="仿宋_GB2312" w:cs="仿宋_GB2312"/>
          <w:sz w:val="32"/>
          <w:szCs w:val="32"/>
          <w:highlight w:val="none"/>
          <w:lang w:val="en-US" w:eastAsia="zh-CN"/>
        </w:rPr>
        <w:t>广东司农会计师事务所（以下简称司农所）</w:t>
      </w:r>
      <w:r>
        <w:rPr>
          <w:rFonts w:hint="eastAsia" w:ascii="仿宋_GB2312" w:hAnsi="仿宋_GB2312" w:eastAsia="仿宋_GB2312" w:cs="仿宋_GB2312"/>
          <w:sz w:val="32"/>
          <w:szCs w:val="32"/>
          <w:lang w:val="en-US" w:eastAsia="zh-CN"/>
        </w:rPr>
        <w:t>进行检查。经查，你们存在以下问题：</w:t>
      </w:r>
    </w:p>
    <w:p>
      <w:pPr>
        <w:overflowPunct w:val="0"/>
        <w:snapToGrid w:val="0"/>
        <w:spacing w:beforeLines="0" w:afterLines="0" w:line="336" w:lineRule="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一、内部治理方面</w:t>
      </w:r>
    </w:p>
    <w:p>
      <w:pPr>
        <w:keepNext w:val="0"/>
        <w:keepLines w:val="0"/>
        <w:pageBreakBefore w:val="0"/>
        <w:kinsoku/>
        <w:wordWrap/>
        <w:overflowPunct w:val="0"/>
        <w:topLinePunct w:val="0"/>
        <w:autoSpaceDE/>
        <w:autoSpaceDN/>
        <w:bidi w:val="0"/>
        <w:adjustRightInd/>
        <w:snapToGrid w:val="0"/>
        <w:spacing w:beforeLines="0" w:afterLines="0" w:line="336" w:lineRule="auto"/>
        <w:ind w:firstLine="641"/>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是对分所的一体化管理不规范。司农所分所在初期发展过渡期内，除上缴管理费和分担在总所发生的归属于分所的费用外，分所合伙人自负盈亏。二是业绩考核及相关利润分配不规范。司农所由各业务部门对各合伙人及其业务团队的业绩收入进行考核分配,未实现由事务所统一进行考核分配。</w:t>
      </w:r>
    </w:p>
    <w:p>
      <w:pPr>
        <w:keepNext w:val="0"/>
        <w:keepLines w:val="0"/>
        <w:pageBreakBefore w:val="0"/>
        <w:kinsoku/>
        <w:wordWrap/>
        <w:overflowPunct w:val="0"/>
        <w:topLinePunct w:val="0"/>
        <w:autoSpaceDE/>
        <w:autoSpaceDN/>
        <w:bidi w:val="0"/>
        <w:adjustRightInd/>
        <w:snapToGrid w:val="0"/>
        <w:spacing w:beforeLines="0" w:afterLines="0" w:line="336" w:lineRule="auto"/>
        <w:ind w:firstLine="641"/>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lang w:eastAsia="zh-CN"/>
        </w:rPr>
        <w:t>上述情形不符合《会计师事务所质量管理准则第5101号——业务质量管理》第三十三条、第五十四条，《会计师事务所一体化管理办法》第六条、第八条和第九条等规定。</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二、质量管理方面</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一是个别项目质量复核不充分。二是项目风险管理不完善，内部制度对中高风险项目分类没有明确指引，且分类结果没有经过适当层级的审批。</w:t>
      </w:r>
    </w:p>
    <w:p>
      <w:pPr>
        <w:keepNext w:val="0"/>
        <w:keepLines w:val="0"/>
        <w:pageBreakBefore w:val="0"/>
        <w:kinsoku/>
        <w:wordWrap/>
        <w:overflowPunct w:val="0"/>
        <w:topLinePunct w:val="0"/>
        <w:autoSpaceDE/>
        <w:autoSpaceDN/>
        <w:bidi w:val="0"/>
        <w:adjustRightInd/>
        <w:snapToGrid w:val="0"/>
        <w:spacing w:beforeLines="0" w:afterLines="0" w:line="336" w:lineRule="auto"/>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上述情形不符合《会计师事务所质量管理准则第5101号——业务质量管理》第六十三条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《会计师事务所质量管理准则第510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号——项目质量复核》第二十八条等规定。</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val="0"/>
        <w:topLinePunct w:val="0"/>
        <w:autoSpaceDE/>
        <w:autoSpaceDN/>
        <w:bidi w:val="0"/>
        <w:adjustRightInd/>
        <w:snapToGrid w:val="0"/>
        <w:spacing w:beforeLines="0" w:afterLines="0" w:line="336" w:lineRule="auto"/>
        <w:ind w:firstLine="641"/>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三、独立性方面</w:t>
      </w:r>
    </w:p>
    <w:p>
      <w:pPr>
        <w:keepNext w:val="0"/>
        <w:keepLines w:val="0"/>
        <w:pageBreakBefore w:val="0"/>
        <w:kinsoku/>
        <w:wordWrap/>
        <w:overflowPunct w:val="0"/>
        <w:topLinePunct w:val="0"/>
        <w:autoSpaceDE/>
        <w:autoSpaceDN/>
        <w:bidi w:val="0"/>
        <w:adjustRightInd/>
        <w:snapToGrid w:val="0"/>
        <w:spacing w:beforeLines="0" w:afterLines="0" w:line="336" w:lineRule="auto"/>
        <w:ind w:firstLine="641"/>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是个别审计项目组人员的近亲属买卖其参与审计项目的股票，个别合伙人的近亲属买卖其同一部门的审计客户股票。二是独立性声明签署不规范，个别项目存在漏签情况。三是内幕信息知情人管理不规范，存在漏报、申报不及时等情况。</w:t>
      </w:r>
    </w:p>
    <w:p>
      <w:pPr>
        <w:keepNext w:val="0"/>
        <w:keepLines w:val="0"/>
        <w:pageBreakBefore w:val="0"/>
        <w:kinsoku/>
        <w:wordWrap/>
        <w:overflowPunct w:val="0"/>
        <w:topLinePunct w:val="0"/>
        <w:autoSpaceDE/>
        <w:autoSpaceDN/>
        <w:bidi w:val="0"/>
        <w:adjustRightInd/>
        <w:snapToGrid w:val="0"/>
        <w:spacing w:beforeLines="0" w:afterLines="0" w:line="336" w:lineRule="auto"/>
        <w:ind w:firstLine="64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上述情形</w:t>
      </w:r>
      <w:r>
        <w:rPr>
          <w:rFonts w:hint="eastAsia" w:ascii="仿宋_GB2312" w:hAnsi="仿宋_GB2312" w:eastAsia="仿宋_GB2312" w:cs="仿宋_GB2312"/>
          <w:sz w:val="32"/>
          <w:szCs w:val="32"/>
          <w:lang w:val="en-US" w:eastAsia="zh-CN"/>
        </w:rPr>
        <w:t>不符合《中国注册会计师职业道德守则第4号——审计和审阅业务对独立性的要求》第六十七条、《中国注册会计师独立性准则第1号——财务报表审计和审阅业务对独立性的要求》第六十条、《中国注册会计师审计准则第1201号——计划审计工作》第六条、《上市公司监管指引第5号——上市公司内幕信息知情人登记管理制度》第八条</w:t>
      </w:r>
      <w:r>
        <w:rPr>
          <w:rFonts w:hint="eastAsia" w:ascii="仿宋_GB2312" w:hAnsi="仿宋_GB2312" w:eastAsia="仿宋_GB2312" w:cs="仿宋_GB2312"/>
          <w:sz w:val="32"/>
          <w:szCs w:val="32"/>
          <w:lang w:val="en" w:eastAsia="zh-CN"/>
        </w:rPr>
        <w:t>等</w:t>
      </w:r>
      <w:r>
        <w:rPr>
          <w:rFonts w:hint="default" w:ascii="仿宋_GB2312" w:hAnsi="仿宋_GB2312" w:eastAsia="仿宋_GB2312" w:cs="仿宋_GB2312"/>
          <w:sz w:val="32"/>
          <w:szCs w:val="32"/>
          <w:lang w:val="en" w:eastAsia="zh-CN"/>
        </w:rPr>
        <w:t>规定。</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四、项目执业质量方面</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336" w:lineRule="auto"/>
        <w:ind w:firstLine="642"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b/>
          <w:bCs/>
          <w:sz w:val="32"/>
          <w:szCs w:val="32"/>
          <w:highlight w:val="none"/>
          <w:lang w:val="en-US" w:eastAsia="zh-CN"/>
        </w:rPr>
        <w:t>（一）风险评估方面。</w:t>
      </w:r>
      <w:r>
        <w:rPr>
          <w:rFonts w:hint="eastAsia" w:ascii="仿宋_GB2312" w:hAnsi="仿宋_GB2312" w:eastAsia="仿宋_GB2312" w:cs="仿宋_GB2312"/>
          <w:color w:val="000000"/>
          <w:sz w:val="32"/>
          <w:szCs w:val="32"/>
          <w:highlight w:val="none"/>
          <w:lang w:val="en-US" w:eastAsia="zh-CN"/>
        </w:rPr>
        <w:t>穿行测试不规范，个别项目</w:t>
      </w:r>
      <w:r>
        <w:rPr>
          <w:rFonts w:hint="eastAsia" w:ascii="仿宋_GB2312" w:hAnsi="仿宋_GB2312" w:eastAsia="仿宋_GB2312" w:cs="仿宋_GB2312"/>
          <w:kern w:val="2"/>
          <w:sz w:val="32"/>
          <w:szCs w:val="32"/>
          <w:lang w:val="en-US" w:eastAsia="zh-CN" w:bidi="ar-SA"/>
        </w:rPr>
        <w:t>对审计确定的具有财务重大性的重要组成部分实体的相关业务层面内部控制活动未完全执行穿行测试，且底稿未记录原因。</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336" w:lineRule="auto"/>
        <w:ind w:firstLine="642"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b/>
          <w:bCs/>
          <w:sz w:val="32"/>
          <w:szCs w:val="32"/>
          <w:highlight w:val="none"/>
          <w:lang w:val="en-US" w:eastAsia="zh-CN"/>
        </w:rPr>
        <w:t>（二）控制测试方面。</w:t>
      </w:r>
      <w:r>
        <w:rPr>
          <w:rFonts w:hint="eastAsia" w:ascii="仿宋_GB2312" w:hAnsi="仿宋_GB2312" w:eastAsia="仿宋_GB2312" w:cs="仿宋_GB2312"/>
          <w:b w:val="0"/>
          <w:bCs w:val="0"/>
          <w:color w:val="000000"/>
          <w:sz w:val="32"/>
          <w:szCs w:val="32"/>
          <w:highlight w:val="none"/>
          <w:lang w:val="en-US" w:eastAsia="zh-CN"/>
        </w:rPr>
        <w:t>一是</w:t>
      </w:r>
      <w:r>
        <w:rPr>
          <w:rFonts w:hint="eastAsia" w:ascii="仿宋_GB2312" w:hAnsi="仿宋_GB2312" w:eastAsia="仿宋_GB2312" w:cs="仿宋_GB2312"/>
          <w:b w:val="0"/>
          <w:bCs w:val="0"/>
          <w:sz w:val="32"/>
          <w:szCs w:val="32"/>
          <w:lang w:val="en-US" w:eastAsia="zh-CN"/>
        </w:rPr>
        <w:t>执行</w:t>
      </w:r>
      <w:r>
        <w:rPr>
          <w:rFonts w:hint="eastAsia" w:ascii="仿宋_GB2312" w:hAnsi="仿宋_GB2312" w:eastAsia="仿宋_GB2312" w:cs="仿宋_GB2312"/>
          <w:b w:val="0"/>
          <w:bCs w:val="0"/>
          <w:color w:val="auto"/>
          <w:spacing w:val="-6"/>
          <w:sz w:val="32"/>
          <w:szCs w:val="32"/>
          <w:highlight w:val="none"/>
          <w:lang w:val="en-US" w:eastAsia="zh-CN"/>
        </w:rPr>
        <w:t>销售业务内部控制测试时，</w:t>
      </w:r>
      <w:r>
        <w:rPr>
          <w:rFonts w:hint="eastAsia" w:ascii="仿宋_GB2312" w:hAnsi="仿宋_GB2312" w:eastAsia="仿宋_GB2312" w:cs="仿宋_GB2312"/>
          <w:b w:val="0"/>
          <w:bCs w:val="0"/>
          <w:sz w:val="32"/>
          <w:szCs w:val="32"/>
          <w:lang w:val="en-US" w:eastAsia="zh-CN"/>
        </w:rPr>
        <w:t>未定义</w:t>
      </w:r>
      <w:r>
        <w:rPr>
          <w:rFonts w:hint="eastAsia" w:ascii="仿宋_GB2312" w:hAnsi="仿宋_GB2312" w:eastAsia="仿宋_GB2312" w:cs="仿宋_GB2312"/>
          <w:b w:val="0"/>
          <w:bCs w:val="0"/>
          <w:color w:val="auto"/>
          <w:spacing w:val="-6"/>
          <w:sz w:val="32"/>
          <w:szCs w:val="32"/>
          <w:highlight w:val="none"/>
          <w:lang w:val="en-US" w:eastAsia="zh-CN"/>
        </w:rPr>
        <w:t>样本总体，个别执行的程序无法应对控制点的测试目标。二是对信息技术控制测试发现的一般控制缺陷未执行进一步审计程序。</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336" w:lineRule="auto"/>
        <w:ind w:firstLine="642"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楷体_GB2312" w:cs="Times New Roman"/>
          <w:b/>
          <w:bCs/>
          <w:sz w:val="32"/>
          <w:szCs w:val="32"/>
          <w:highlight w:val="none"/>
          <w:lang w:val="en-US" w:eastAsia="zh-CN"/>
        </w:rPr>
        <w:t>（三）实质性程序方面。</w:t>
      </w:r>
      <w:r>
        <w:rPr>
          <w:rFonts w:hint="eastAsia" w:ascii="仿宋_GB2312" w:hAnsi="仿宋_GB2312" w:eastAsia="仿宋_GB2312" w:cs="仿宋_GB2312"/>
          <w:b w:val="0"/>
          <w:bCs w:val="0"/>
          <w:color w:val="auto"/>
          <w:spacing w:val="-6"/>
          <w:sz w:val="32"/>
          <w:szCs w:val="32"/>
          <w:highlight w:val="none"/>
          <w:lang w:val="en-US" w:eastAsia="zh-CN"/>
        </w:rPr>
        <w:t>1.</w:t>
      </w:r>
      <w:r>
        <w:rPr>
          <w:rFonts w:hint="eastAsia" w:ascii="仿宋_GB2312" w:hAnsi="仿宋_GB2312" w:eastAsia="仿宋_GB2312" w:cs="仿宋_GB2312"/>
          <w:sz w:val="32"/>
          <w:szCs w:val="32"/>
          <w:lang w:val="en-US" w:eastAsia="zh-CN"/>
        </w:rPr>
        <w:t>收入审计程序方面。</w:t>
      </w:r>
      <w:r>
        <w:rPr>
          <w:rFonts w:hint="eastAsia" w:ascii="仿宋_GB2312" w:hAnsi="仿宋_GB2312" w:eastAsia="仿宋_GB2312" w:cs="仿宋_GB2312"/>
          <w:b w:val="0"/>
          <w:bCs w:val="0"/>
          <w:kern w:val="2"/>
          <w:sz w:val="32"/>
          <w:szCs w:val="32"/>
          <w:lang w:val="en-US" w:eastAsia="zh-CN" w:bidi="ar-SA"/>
        </w:rPr>
        <w:t>截止性测试程序不充分，</w:t>
      </w:r>
      <w:r>
        <w:rPr>
          <w:rFonts w:hint="eastAsia" w:ascii="仿宋_GB2312" w:hAnsi="仿宋_GB2312" w:eastAsia="仿宋_GB2312" w:cs="仿宋_GB2312"/>
          <w:kern w:val="2"/>
          <w:sz w:val="32"/>
          <w:szCs w:val="32"/>
          <w:lang w:val="en-US" w:eastAsia="zh-CN" w:bidi="ar-SA"/>
        </w:rPr>
        <w:t>底稿获取的部分收入确认证据没有签收日期，但未见执行进一步审计程序核实收入是否存在跨期。2.应收账款审计程序方面。</w:t>
      </w:r>
      <w:r>
        <w:rPr>
          <w:rFonts w:hint="eastAsia" w:ascii="仿宋_GB2312" w:hAnsi="仿宋_GB2312" w:eastAsia="仿宋_GB2312" w:cs="仿宋_GB2312"/>
          <w:b w:val="0"/>
          <w:bCs w:val="0"/>
          <w:color w:val="auto"/>
          <w:spacing w:val="-6"/>
          <w:sz w:val="32"/>
          <w:szCs w:val="32"/>
          <w:highlight w:val="none"/>
          <w:lang w:val="en-US" w:eastAsia="zh-CN"/>
        </w:rPr>
        <w:t>一是个别项目2024年审计报告披露的有关应收账款关键审计事项的个别应对措施未实际执行。</w:t>
      </w:r>
      <w:r>
        <w:rPr>
          <w:rFonts w:hint="eastAsia" w:ascii="仿宋_GB2312" w:hAnsi="仿宋_GB2312" w:eastAsia="仿宋_GB2312" w:cs="仿宋_GB2312"/>
          <w:b w:val="0"/>
          <w:bCs w:val="0"/>
          <w:kern w:val="2"/>
          <w:sz w:val="32"/>
          <w:szCs w:val="32"/>
          <w:lang w:val="en-US" w:eastAsia="zh-CN" w:bidi="ar-SA"/>
        </w:rPr>
        <w:t>二是公司应收账款预期信用损失测算的个别公式有误，项目组在审计中未予以充分关注。3.存货审计程序方面</w:t>
      </w:r>
      <w:r>
        <w:rPr>
          <w:rFonts w:hint="eastAsia" w:ascii="仿宋_GB2312" w:hAnsi="仿宋_GB2312" w:eastAsia="仿宋_GB2312" w:cs="仿宋_GB2312"/>
          <w:b w:val="0"/>
          <w:bCs w:val="0"/>
          <w:color w:val="auto"/>
          <w:spacing w:val="-6"/>
          <w:sz w:val="32"/>
          <w:szCs w:val="32"/>
          <w:highlight w:val="none"/>
          <w:lang w:val="en-US" w:eastAsia="zh-CN"/>
        </w:rPr>
        <w:t>。一是未针对发出商品存货跌价准备设计和实施相关审计程序。</w:t>
      </w:r>
      <w:r>
        <w:rPr>
          <w:rFonts w:hint="eastAsia" w:ascii="仿宋_GB2312" w:hAnsi="仿宋_GB2312" w:eastAsia="仿宋_GB2312" w:cs="仿宋_GB2312"/>
          <w:b w:val="0"/>
          <w:bCs w:val="0"/>
          <w:kern w:val="2"/>
          <w:sz w:val="32"/>
          <w:szCs w:val="32"/>
          <w:lang w:val="en-US" w:eastAsia="zh-CN" w:bidi="ar-SA"/>
        </w:rPr>
        <w:t>二是在存货审计中未充分关注公司相关原材料、半成品减值测算及产成品可变现净值测算中部分数值取数有误。4.函证程序方面。</w:t>
      </w:r>
      <w:r>
        <w:rPr>
          <w:rFonts w:hint="eastAsia" w:ascii="仿宋_GB2312" w:hAnsi="仿宋_GB2312" w:eastAsia="仿宋_GB2312" w:cs="仿宋_GB2312"/>
          <w:b w:val="0"/>
          <w:bCs w:val="0"/>
          <w:color w:val="auto"/>
          <w:spacing w:val="-6"/>
          <w:sz w:val="32"/>
          <w:szCs w:val="32"/>
          <w:highlight w:val="none"/>
          <w:lang w:val="en-US" w:eastAsia="zh-CN"/>
        </w:rPr>
        <w:t>对个别往来款函证回函结果不符的情况未实施进一步审计程序。</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336" w:lineRule="auto"/>
        <w:ind w:firstLine="642"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b/>
          <w:bCs/>
          <w:sz w:val="32"/>
          <w:szCs w:val="32"/>
          <w:highlight w:val="none"/>
          <w:lang w:val="en-US" w:eastAsia="zh-CN"/>
        </w:rPr>
        <w:t>（四）其他方面。</w:t>
      </w:r>
      <w:r>
        <w:rPr>
          <w:rFonts w:hint="eastAsia" w:ascii="仿宋_GB2312" w:hAnsi="仿宋_GB2312" w:eastAsia="仿宋_GB2312" w:cs="仿宋_GB2312"/>
          <w:color w:val="auto"/>
          <w:spacing w:val="-6"/>
          <w:sz w:val="32"/>
          <w:szCs w:val="32"/>
          <w:highlight w:val="none"/>
          <w:lang w:val="en-US" w:eastAsia="zh-CN"/>
        </w:rPr>
        <w:t>个别项目审计底稿归档不完整。</w:t>
      </w:r>
      <w:r>
        <w:rPr>
          <w:rFonts w:hint="eastAsia" w:ascii="仿宋_GB2312" w:hAnsi="仿宋_GB2312" w:eastAsia="仿宋_GB2312" w:cs="仿宋_GB2312"/>
          <w:kern w:val="2"/>
          <w:sz w:val="32"/>
          <w:szCs w:val="32"/>
          <w:lang w:val="en-US" w:eastAsia="zh-CN" w:bidi="ar-SA"/>
        </w:rPr>
        <w:t>审计底稿部分记录存在错误，部分记录不充分。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left="0" w:leftChars="0" w:firstLine="616" w:firstLineChars="200"/>
        <w:textAlignment w:val="auto"/>
        <w:rPr>
          <w:rFonts w:hint="eastAsia" w:ascii="Calibri" w:hAnsi="Calibri" w:eastAsia="宋体" w:cs="Times New Roman"/>
          <w:szCs w:val="24"/>
          <w:lang w:val="en-US" w:eastAsia="zh-CN"/>
        </w:rPr>
      </w:pPr>
      <w:r>
        <w:rPr>
          <w:rFonts w:hint="eastAsia" w:ascii="仿宋_GB2312" w:hAnsi="仿宋_GB2312" w:eastAsia="仿宋_GB2312" w:cs="仿宋_GB2312"/>
          <w:color w:val="auto"/>
          <w:spacing w:val="-6"/>
          <w:sz w:val="32"/>
          <w:szCs w:val="32"/>
          <w:highlight w:val="none"/>
          <w:lang w:val="en-US" w:eastAsia="zh-CN"/>
        </w:rPr>
        <w:t>上述情形不符合《中国注册会计师审计准则第1131号——审计工作底稿》第十条</w:t>
      </w:r>
      <w:r>
        <w:rPr>
          <w:rFonts w:hint="default" w:ascii="仿宋_GB2312" w:hAnsi="仿宋_GB2312" w:eastAsia="仿宋_GB2312" w:cs="仿宋_GB2312"/>
          <w:color w:val="auto"/>
          <w:spacing w:val="-6"/>
          <w:sz w:val="32"/>
          <w:szCs w:val="32"/>
          <w:highlight w:val="none"/>
          <w:lang w:val="en-US" w:eastAsia="zh-CN"/>
        </w:rPr>
        <w:t>,</w:t>
      </w:r>
      <w:r>
        <w:rPr>
          <w:rFonts w:hint="eastAsia" w:ascii="仿宋_GB2312" w:hAnsi="仿宋_GB2312" w:eastAsia="仿宋_GB2312" w:cs="仿宋_GB2312"/>
          <w:color w:val="auto"/>
          <w:spacing w:val="-6"/>
          <w:sz w:val="32"/>
          <w:szCs w:val="32"/>
          <w:highlight w:val="none"/>
          <w:lang w:val="en-US" w:eastAsia="zh-CN"/>
        </w:rPr>
        <w:t>《中国注册会计师审计准则第1211号——重大错报风险的识别和评估》第十六条</w:t>
      </w:r>
      <w:r>
        <w:rPr>
          <w:rFonts w:hint="default" w:ascii="仿宋_GB2312" w:hAnsi="仿宋_GB2312" w:eastAsia="仿宋_GB2312" w:cs="仿宋_GB2312"/>
          <w:color w:val="auto"/>
          <w:spacing w:val="-6"/>
          <w:sz w:val="32"/>
          <w:szCs w:val="32"/>
          <w:highlight w:val="none"/>
          <w:lang w:val="en-US" w:eastAsia="zh-CN"/>
        </w:rPr>
        <w:t>,</w:t>
      </w:r>
      <w:r>
        <w:rPr>
          <w:rFonts w:hint="eastAsia" w:ascii="仿宋_GB2312" w:hAnsi="仿宋_GB2312" w:eastAsia="仿宋_GB2312" w:cs="仿宋_GB2312"/>
          <w:color w:val="auto"/>
          <w:spacing w:val="-6"/>
          <w:sz w:val="32"/>
          <w:szCs w:val="32"/>
          <w:highlight w:val="none"/>
          <w:lang w:val="en-US" w:eastAsia="zh-CN"/>
        </w:rPr>
        <w:t>《中国注册会计师审计准则第1231号——针对评估的重大错报风险采取的应对措施》</w:t>
      </w:r>
      <w:r>
        <w:rPr>
          <w:rFonts w:hint="eastAsia" w:ascii="仿宋_GB2312" w:hAnsi="仿宋_GB2312" w:eastAsia="仿宋_GB2312" w:cs="仿宋_GB2312"/>
          <w:color w:val="auto"/>
          <w:spacing w:val="-6"/>
          <w:kern w:val="2"/>
          <w:sz w:val="32"/>
          <w:szCs w:val="32"/>
          <w:highlight w:val="none"/>
          <w:lang w:val="en-US" w:eastAsia="zh-CN" w:bidi="ar-SA"/>
        </w:rPr>
        <w:t>第六条、</w:t>
      </w:r>
      <w:r>
        <w:rPr>
          <w:rFonts w:hint="eastAsia" w:ascii="仿宋_GB2312" w:hAnsi="仿宋_GB2312" w:eastAsia="仿宋_GB2312" w:cs="仿宋_GB2312"/>
          <w:color w:val="auto"/>
          <w:spacing w:val="-6"/>
          <w:sz w:val="32"/>
          <w:szCs w:val="32"/>
          <w:highlight w:val="none"/>
          <w:lang w:val="en-US" w:eastAsia="zh-CN"/>
        </w:rPr>
        <w:t>第八条、第十条、第十六条</w:t>
      </w:r>
      <w:r>
        <w:rPr>
          <w:rFonts w:hint="default" w:ascii="仿宋_GB2312" w:hAnsi="仿宋_GB2312" w:eastAsia="仿宋_GB2312" w:cs="仿宋_GB2312"/>
          <w:color w:val="auto"/>
          <w:spacing w:val="-6"/>
          <w:sz w:val="32"/>
          <w:szCs w:val="32"/>
          <w:highlight w:val="none"/>
          <w:lang w:val="en-US" w:eastAsia="zh-CN"/>
        </w:rPr>
        <w:t>,</w:t>
      </w:r>
      <w:r>
        <w:rPr>
          <w:rFonts w:hint="eastAsia" w:ascii="仿宋_GB2312" w:hAnsi="仿宋_GB2312" w:eastAsia="仿宋_GB2312" w:cs="仿宋_GB2312"/>
          <w:color w:val="auto"/>
          <w:spacing w:val="-6"/>
          <w:sz w:val="32"/>
          <w:szCs w:val="32"/>
          <w:highlight w:val="none"/>
          <w:lang w:val="en-US" w:eastAsia="zh-CN"/>
        </w:rPr>
        <w:t>《中国注册会计师审计准则第1301号——审计证据》第十条</w:t>
      </w:r>
      <w:r>
        <w:rPr>
          <w:rFonts w:hint="default" w:ascii="仿宋_GB2312" w:hAnsi="仿宋_GB2312" w:eastAsia="仿宋_GB2312" w:cs="仿宋_GB2312"/>
          <w:color w:val="auto"/>
          <w:spacing w:val="-6"/>
          <w:sz w:val="32"/>
          <w:szCs w:val="32"/>
          <w:highlight w:val="none"/>
          <w:lang w:val="en-US" w:eastAsia="zh-CN"/>
        </w:rPr>
        <w:t>,</w:t>
      </w:r>
      <w:r>
        <w:rPr>
          <w:rFonts w:hint="eastAsia" w:ascii="仿宋_GB2312" w:hAnsi="仿宋_GB2312" w:eastAsia="仿宋_GB2312" w:cs="仿宋_GB2312"/>
          <w:color w:val="auto"/>
          <w:spacing w:val="-6"/>
          <w:sz w:val="32"/>
          <w:szCs w:val="32"/>
          <w:highlight w:val="none"/>
          <w:lang w:val="en-US" w:eastAsia="zh-CN"/>
        </w:rPr>
        <w:t>《中国注册会计师审计准则第1312号——函证》第二十一条</w:t>
      </w:r>
      <w:r>
        <w:rPr>
          <w:rFonts w:hint="default" w:ascii="仿宋_GB2312" w:hAnsi="仿宋_GB2312" w:eastAsia="仿宋_GB2312" w:cs="仿宋_GB2312"/>
          <w:color w:val="auto"/>
          <w:spacing w:val="-6"/>
          <w:sz w:val="32"/>
          <w:szCs w:val="32"/>
          <w:highlight w:val="none"/>
          <w:lang w:val="en-US" w:eastAsia="zh-CN"/>
        </w:rPr>
        <w:t>,</w:t>
      </w:r>
      <w:r>
        <w:rPr>
          <w:rFonts w:hint="eastAsia" w:ascii="仿宋_GB2312" w:hAnsi="仿宋_GB2312" w:eastAsia="仿宋_GB2312" w:cs="仿宋_GB2312"/>
          <w:color w:val="auto"/>
          <w:spacing w:val="-6"/>
          <w:kern w:val="2"/>
          <w:sz w:val="32"/>
          <w:szCs w:val="32"/>
          <w:highlight w:val="none"/>
          <w:lang w:val="en-US" w:eastAsia="zh-CN" w:bidi="ar-SA"/>
        </w:rPr>
        <w:t>《中国注册会计师审计准则第1321号——会计估计和相关披露的审计》第十九条</w:t>
      </w:r>
      <w:r>
        <w:rPr>
          <w:rFonts w:hint="default" w:ascii="仿宋_GB2312" w:hAnsi="仿宋_GB2312" w:eastAsia="仿宋_GB2312" w:cs="仿宋_GB2312"/>
          <w:color w:val="auto"/>
          <w:spacing w:val="-6"/>
          <w:kern w:val="2"/>
          <w:sz w:val="32"/>
          <w:szCs w:val="32"/>
          <w:highlight w:val="none"/>
          <w:lang w:val="en-US" w:eastAsia="zh-CN" w:bidi="ar-SA"/>
        </w:rPr>
        <w:t>,</w:t>
      </w:r>
      <w:r>
        <w:rPr>
          <w:rFonts w:hint="eastAsia" w:ascii="仿宋_GB2312" w:hAnsi="仿宋_GB2312" w:eastAsia="仿宋_GB2312" w:cs="仿宋_GB2312"/>
          <w:color w:val="auto"/>
          <w:spacing w:val="-6"/>
          <w:kern w:val="2"/>
          <w:sz w:val="32"/>
          <w:szCs w:val="32"/>
          <w:highlight w:val="none"/>
          <w:lang w:val="en-US" w:eastAsia="zh-CN" w:bidi="ar-SA"/>
        </w:rPr>
        <w:t>《中国注册会计师审计准则第1401号——对集团财务报表审计的特殊考虑》第三十八条、第三十九条，</w:t>
      </w:r>
      <w:r>
        <w:rPr>
          <w:rFonts w:hint="eastAsia" w:ascii="仿宋_GB2312" w:hAnsi="仿宋_GB2312" w:eastAsia="仿宋_GB2312" w:cs="仿宋_GB2312"/>
          <w:color w:val="auto"/>
          <w:spacing w:val="-6"/>
          <w:sz w:val="32"/>
          <w:szCs w:val="32"/>
          <w:highlight w:val="none"/>
          <w:lang w:val="en-US" w:eastAsia="zh-CN"/>
        </w:rPr>
        <w:t>《中国注册会计师审计准则第1504号——在审计报告中沟通关键审计事项》第十三条等规定。</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16"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6"/>
          <w:kern w:val="2"/>
          <w:sz w:val="32"/>
          <w:szCs w:val="32"/>
          <w:highlight w:val="none"/>
          <w:lang w:val="en-US" w:eastAsia="zh-CN" w:bidi="ar-SA"/>
        </w:rPr>
        <w:t>司农</w:t>
      </w:r>
      <w:r>
        <w:rPr>
          <w:rFonts w:hint="default"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val="en-US" w:eastAsia="zh-CN"/>
        </w:rPr>
        <w:t>在内部治理、质量管理、独立性方面以及部分项目执业方面存在的</w:t>
      </w:r>
      <w:r>
        <w:rPr>
          <w:rFonts w:hint="default" w:ascii="仿宋_GB2312" w:hAnsi="仿宋_GB2312" w:eastAsia="仿宋_GB2312" w:cs="仿宋_GB2312"/>
          <w:sz w:val="32"/>
          <w:szCs w:val="32"/>
          <w:lang w:val="en-US" w:eastAsia="zh-CN"/>
        </w:rPr>
        <w:t>上述行为不符合《中国注册会计师执业准则》《中国注册会计师职业道德守则》的有关要求，违反了《上市公司信息披露管理办法》（证监会令第182号）第四十五条</w:t>
      </w:r>
      <w:r>
        <w:rPr>
          <w:rFonts w:hint="eastAsia" w:ascii="仿宋_GB2312" w:hAnsi="仿宋_GB2312" w:eastAsia="仿宋_GB2312" w:cs="仿宋_GB2312"/>
          <w:color w:val="auto"/>
          <w:spacing w:val="-6"/>
          <w:kern w:val="2"/>
          <w:sz w:val="32"/>
          <w:szCs w:val="32"/>
          <w:highlight w:val="none"/>
          <w:lang w:val="en-US" w:eastAsia="zh-CN" w:bidi="ar-SA"/>
        </w:rPr>
        <w:t>第一款</w:t>
      </w:r>
      <w:r>
        <w:rPr>
          <w:rFonts w:hint="default" w:ascii="仿宋_GB2312" w:hAnsi="仿宋_GB2312" w:eastAsia="仿宋_GB2312" w:cs="仿宋_GB2312"/>
          <w:sz w:val="32"/>
          <w:szCs w:val="32"/>
          <w:lang w:val="en-US" w:eastAsia="zh-CN"/>
        </w:rPr>
        <w:t>、第四十六条规定。</w:t>
      </w:r>
      <w:r>
        <w:rPr>
          <w:rFonts w:hint="eastAsia" w:ascii="仿宋_GB2312" w:hAnsi="仿宋_GB2312" w:eastAsia="仿宋_GB2312" w:cs="仿宋_GB2312"/>
          <w:sz w:val="32"/>
          <w:szCs w:val="32"/>
          <w:highlight w:val="none"/>
          <w:lang w:val="en-US" w:eastAsia="zh-CN"/>
        </w:rPr>
        <w:t>刘火旺、张抒雯</w:t>
      </w:r>
      <w:r>
        <w:rPr>
          <w:rFonts w:hint="eastAsia" w:ascii="仿宋_GB2312" w:hAnsi="仿宋_GB2312" w:eastAsia="仿宋_GB2312" w:cs="仿宋_GB2312"/>
          <w:color w:val="000000"/>
          <w:sz w:val="32"/>
          <w:szCs w:val="32"/>
          <w:highlight w:val="none"/>
          <w:lang w:eastAsia="zh-CN"/>
        </w:rPr>
        <w:t>作为众业达</w:t>
      </w:r>
      <w:r>
        <w:rPr>
          <w:rFonts w:hint="eastAsia" w:ascii="仿宋_GB2312" w:hAnsi="仿宋_GB2312" w:eastAsia="仿宋_GB2312" w:cs="仿宋_GB2312"/>
          <w:color w:val="000000"/>
          <w:sz w:val="32"/>
          <w:szCs w:val="32"/>
          <w:highlight w:val="none"/>
          <w:lang w:val="en-US" w:eastAsia="zh-CN"/>
        </w:rPr>
        <w:t>2024年年报审计</w:t>
      </w:r>
      <w:r>
        <w:rPr>
          <w:rFonts w:hint="eastAsia" w:ascii="仿宋_GB2312" w:hAnsi="仿宋_GB2312" w:eastAsia="仿宋_GB2312" w:cs="仿宋_GB2312"/>
          <w:color w:val="000000"/>
          <w:sz w:val="32"/>
          <w:szCs w:val="32"/>
          <w:highlight w:val="none"/>
          <w:lang w:eastAsia="zh-CN"/>
        </w:rPr>
        <w:t>项目的签字会计师，</w:t>
      </w:r>
      <w:r>
        <w:rPr>
          <w:rFonts w:hint="eastAsia" w:ascii="仿宋_GB2312" w:hAnsi="仿宋_GB2312" w:eastAsia="仿宋_GB2312" w:cs="仿宋_GB2312"/>
          <w:sz w:val="32"/>
          <w:szCs w:val="32"/>
          <w:highlight w:val="none"/>
          <w:lang w:val="en-US" w:eastAsia="zh-CN"/>
        </w:rPr>
        <w:t>陈皓淳、耿启庆</w:t>
      </w:r>
      <w:r>
        <w:rPr>
          <w:rFonts w:hint="eastAsia" w:ascii="仿宋_GB2312" w:hAnsi="仿宋_GB2312" w:eastAsia="仿宋_GB2312" w:cs="仿宋_GB2312"/>
          <w:color w:val="000000"/>
          <w:sz w:val="32"/>
          <w:szCs w:val="32"/>
          <w:highlight w:val="none"/>
          <w:lang w:eastAsia="zh-CN"/>
        </w:rPr>
        <w:t>作为实丰文化</w:t>
      </w:r>
      <w:r>
        <w:rPr>
          <w:rFonts w:hint="eastAsia" w:ascii="仿宋_GB2312" w:hAnsi="仿宋_GB2312" w:eastAsia="仿宋_GB2312" w:cs="仿宋_GB2312"/>
          <w:color w:val="000000"/>
          <w:sz w:val="32"/>
          <w:szCs w:val="32"/>
          <w:highlight w:val="none"/>
          <w:lang w:val="en-US" w:eastAsia="zh-CN"/>
        </w:rPr>
        <w:t>2024年年报审计</w:t>
      </w:r>
      <w:r>
        <w:rPr>
          <w:rFonts w:hint="eastAsia" w:ascii="仿宋_GB2312" w:hAnsi="仿宋_GB2312" w:eastAsia="仿宋_GB2312" w:cs="仿宋_GB2312"/>
          <w:color w:val="000000"/>
          <w:sz w:val="32"/>
          <w:szCs w:val="32"/>
          <w:highlight w:val="none"/>
          <w:lang w:eastAsia="zh-CN"/>
        </w:rPr>
        <w:t>项目的签字会计师，对有关项目执业存在的问题</w:t>
      </w:r>
      <w:r>
        <w:rPr>
          <w:rFonts w:hint="eastAsia" w:ascii="仿宋_GB2312" w:hAnsi="仿宋_GB2312" w:eastAsia="仿宋_GB2312" w:cs="仿宋_GB2312"/>
          <w:color w:val="auto"/>
          <w:kern w:val="0"/>
          <w:sz w:val="32"/>
          <w:szCs w:val="32"/>
          <w:highlight w:val="none"/>
        </w:rPr>
        <w:t>负有主要责任</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根据《上市公司信息披露管理办法》（证监会令第182号）第五十五条的规定，我</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决定对</w:t>
      </w:r>
      <w:r>
        <w:rPr>
          <w:rFonts w:hint="eastAsia" w:ascii="仿宋_GB2312" w:hAnsi="仿宋_GB2312" w:eastAsia="仿宋_GB2312" w:cs="仿宋_GB2312"/>
          <w:color w:val="000000"/>
          <w:sz w:val="32"/>
          <w:szCs w:val="32"/>
          <w:highlight w:val="none"/>
          <w:lang w:eastAsia="zh-CN"/>
        </w:rPr>
        <w:t>司农所</w:t>
      </w:r>
      <w:r>
        <w:rPr>
          <w:rFonts w:hint="eastAsia" w:ascii="仿宋_GB2312" w:hAnsi="仿宋_GB2312" w:eastAsia="仿宋_GB2312" w:cs="Times New Roman"/>
          <w:snapToGrid w:val="0"/>
          <w:kern w:val="0"/>
          <w:sz w:val="32"/>
          <w:szCs w:val="32"/>
          <w:highlight w:val="none"/>
          <w:lang w:eastAsia="zh-CN"/>
        </w:rPr>
        <w:t>及</w:t>
      </w:r>
      <w:r>
        <w:rPr>
          <w:rFonts w:hint="eastAsia" w:ascii="仿宋_GB2312" w:hAnsi="仿宋_GB2312" w:eastAsia="仿宋_GB2312" w:cs="仿宋_GB2312"/>
          <w:sz w:val="32"/>
          <w:szCs w:val="32"/>
          <w:highlight w:val="none"/>
          <w:lang w:val="en-US" w:eastAsia="zh-CN"/>
        </w:rPr>
        <w:t>刘火旺、张抒雯</w:t>
      </w:r>
      <w:r>
        <w:rPr>
          <w:rFonts w:hint="eastAsia" w:ascii="仿宋_GB2312" w:hAnsi="仿宋_GB2312" w:eastAsia="仿宋_GB2312" w:cs="Times New Roman"/>
          <w:snapToGrid w:val="0"/>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陈皓淳、耿启庆</w:t>
      </w:r>
      <w:r>
        <w:rPr>
          <w:rFonts w:hint="eastAsia" w:ascii="仿宋_GB2312" w:hAnsi="仿宋_GB2312" w:eastAsia="仿宋_GB2312" w:cs="Times New Roman"/>
          <w:kern w:val="0"/>
          <w:sz w:val="32"/>
          <w:szCs w:val="32"/>
          <w:highlight w:val="none"/>
        </w:rPr>
        <w:t>采取出具警示函的行政监管措施</w:t>
      </w:r>
      <w:r>
        <w:rPr>
          <w:rFonts w:hint="default" w:ascii="仿宋_GB2312" w:hAnsi="仿宋_GB2312" w:eastAsia="仿宋_GB2312" w:cs="仿宋_GB2312"/>
          <w:sz w:val="32"/>
          <w:szCs w:val="32"/>
          <w:lang w:val="en-US" w:eastAsia="zh-CN"/>
        </w:rPr>
        <w:t>。你们应严格遵照相关法律法规和中国注册会计师执业准则的规定，及时采取措施完善内部治理体系，健全质量控制制度，加强独立性管理，提高审计执业质量。你们应当在收到本决定书之日起30日内向我</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提交书面整改报告。</w:t>
      </w:r>
    </w:p>
    <w:p>
      <w:pPr>
        <w:keepNext w:val="0"/>
        <w:keepLines w:val="0"/>
        <w:pageBreakBefore w:val="0"/>
        <w:widowControl w:val="0"/>
        <w:kinsoku/>
        <w:wordWrap/>
        <w:overflowPunct w:val="0"/>
        <w:topLinePunct w:val="0"/>
        <w:autoSpaceDE/>
        <w:autoSpaceDN/>
        <w:bidi w:val="0"/>
        <w:adjustRightInd/>
        <w:snapToGrid w:val="0"/>
        <w:spacing w:beforeLines="0" w:afterLines="0" w:line="336"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如果对本行政监管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widowControl w:val="0"/>
        <w:overflowPunct w:val="0"/>
        <w:snapToGrid w:val="0"/>
        <w:spacing w:line="360" w:lineRule="auto"/>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rPr>
          <w:rFonts w:ascii="Times New Roman" w:hAnsi="Times New Roman" w:eastAsia="宋体" w:cs="Times New Roman"/>
          <w:szCs w:val="20"/>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6</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1</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23</w:t>
      </w:r>
      <w:r>
        <w:rPr>
          <w:rFonts w:hint="eastAsia" w:ascii="仿宋_GB2312" w:hAnsi="Times New Roman" w:eastAsia="仿宋_GB2312" w:cs="Times New Roman"/>
          <w:color w:val="000000"/>
          <w:spacing w:val="10"/>
          <w:sz w:val="32"/>
          <w:szCs w:val="32"/>
        </w:rPr>
        <w:t>日</w:t>
      </w: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line="300" w:lineRule="auto"/>
        <w:ind w:right="26"/>
        <w:jc w:val="left"/>
        <w:rPr>
          <w:rFonts w:hint="eastAsia" w:ascii="黑体" w:hAnsi="Calibri" w:eastAsia="黑体" w:cs="Times New Roman"/>
          <w:spacing w:val="8"/>
          <w:sz w:val="24"/>
          <w:szCs w:val="24"/>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hAnsi="Calibri" w:eastAsia="长城仿宋" w:cs="Times New Roman"/>
          <w:sz w:val="28"/>
          <w:szCs w:val="24"/>
        </w:rPr>
      </w:pPr>
      <w:r>
        <w:rPr>
          <w:rFonts w:hint="eastAsia" w:ascii="仿宋_GB2312" w:hAnsi="Calibri" w:eastAsia="仿宋_GB2312" w:cs="Times New Roman"/>
          <w:spacing w:val="8"/>
          <w:sz w:val="28"/>
          <w:szCs w:val="24"/>
        </w:rPr>
        <w:t>抄送：证监会法治司、会计司。</w:t>
      </w:r>
    </w:p>
    <w:p>
      <w:pPr>
        <w:pBdr>
          <w:top w:val="single" w:color="auto" w:sz="4" w:space="6"/>
        </w:pBdr>
        <w:adjustRightInd w:val="0"/>
        <w:snapToGrid w:val="0"/>
        <w:spacing w:after="109" w:afterLines="35"/>
        <w:ind w:firstLine="318"/>
        <w:jc w:val="left"/>
        <w:rPr>
          <w:rFonts w:hint="eastAsia" w:ascii="仿宋_GB2312" w:hAnsi="Calibri" w:eastAsia="仿宋_GB2312" w:cs="Times New Roman"/>
          <w:spacing w:val="8"/>
          <w:sz w:val="28"/>
          <w:szCs w:val="24"/>
        </w:rPr>
      </w:pPr>
      <w:r>
        <w:rPr>
          <w:rFonts w:hint="eastAsia" w:ascii="仿宋_GB2312" w:hAnsi="Calibri" w:eastAsia="仿宋_GB2312" w:cs="Times New Roman"/>
          <w:spacing w:val="8"/>
          <w:sz w:val="28"/>
          <w:szCs w:val="24"/>
        </w:rPr>
        <w:t xml:space="preserve">广东证监局办公室        </w:t>
      </w:r>
      <w:r>
        <w:rPr>
          <w:rFonts w:hint="eastAsia" w:ascii="仿宋_GB2312" w:hAnsi="Calibri" w:eastAsia="仿宋_GB2312" w:cs="Times New Roman"/>
          <w:spacing w:val="8"/>
          <w:sz w:val="28"/>
          <w:szCs w:val="24"/>
          <w:lang w:val="en-US" w:eastAsia="zh-CN"/>
        </w:rPr>
        <w:t xml:space="preserve">  </w:t>
      </w:r>
      <w:r>
        <w:rPr>
          <w:rFonts w:hint="default" w:ascii="仿宋_GB2312" w:hAnsi="Calibri" w:eastAsia="仿宋_GB2312" w:cs="Times New Roman"/>
          <w:spacing w:val="8"/>
          <w:sz w:val="28"/>
          <w:szCs w:val="24"/>
          <w:lang w:val="en-US" w:eastAsia="zh-CN"/>
        </w:rPr>
        <w:t xml:space="preserve"> </w:t>
      </w:r>
      <w:r>
        <w:rPr>
          <w:rFonts w:hint="eastAsia" w:ascii="仿宋_GB2312" w:hAnsi="Calibri" w:eastAsia="仿宋_GB2312" w:cs="Times New Roman"/>
          <w:spacing w:val="8"/>
          <w:sz w:val="28"/>
          <w:szCs w:val="24"/>
        </w:rPr>
        <w:t xml:space="preserve">    </w:t>
      </w:r>
      <w:r>
        <w:rPr>
          <w:rFonts w:hint="default" w:ascii="仿宋_GB2312" w:hAnsi="Calibri" w:eastAsia="仿宋_GB2312" w:cs="Times New Roman"/>
          <w:spacing w:val="8"/>
          <w:sz w:val="28"/>
          <w:szCs w:val="24"/>
          <w:lang w:val="en-US"/>
        </w:rPr>
        <w:t xml:space="preserve">    </w:t>
      </w:r>
      <w:r>
        <w:rPr>
          <w:rFonts w:hint="default" w:ascii="仿宋_GB2312" w:hAnsi="Calibri" w:eastAsia="仿宋_GB2312" w:cs="Times New Roman"/>
          <w:spacing w:val="8"/>
          <w:sz w:val="28"/>
          <w:szCs w:val="24"/>
          <w:lang w:val="en" w:eastAsia="zh-CN"/>
        </w:rPr>
        <w:t>202</w:t>
      </w:r>
      <w:r>
        <w:rPr>
          <w:rFonts w:hint="eastAsia" w:ascii="仿宋_GB2312" w:hAnsi="Calibri" w:eastAsia="仿宋_GB2312" w:cs="Times New Roman"/>
          <w:spacing w:val="8"/>
          <w:sz w:val="28"/>
          <w:szCs w:val="24"/>
          <w:lang w:val="en-US" w:eastAsia="zh-CN"/>
        </w:rPr>
        <w:t>6</w:t>
      </w:r>
      <w:r>
        <w:rPr>
          <w:rFonts w:hint="eastAsia" w:ascii="仿宋_GB2312" w:hAnsi="Calibri" w:eastAsia="仿宋_GB2312" w:cs="Times New Roman"/>
          <w:spacing w:val="8"/>
          <w:sz w:val="28"/>
          <w:szCs w:val="24"/>
        </w:rPr>
        <w:t>年</w:t>
      </w:r>
      <w:r>
        <w:rPr>
          <w:rFonts w:hint="eastAsia" w:ascii="仿宋_GB2312" w:hAnsi="Calibri" w:eastAsia="仿宋_GB2312" w:cs="Times New Roman"/>
          <w:spacing w:val="8"/>
          <w:sz w:val="28"/>
          <w:szCs w:val="24"/>
          <w:lang w:val="en-US" w:eastAsia="zh-CN"/>
        </w:rPr>
        <w:t>1</w:t>
      </w:r>
      <w:r>
        <w:rPr>
          <w:rFonts w:hint="eastAsia" w:ascii="仿宋_GB2312" w:hAnsi="Calibri" w:eastAsia="仿宋_GB2312" w:cs="Times New Roman"/>
          <w:spacing w:val="8"/>
          <w:sz w:val="28"/>
          <w:szCs w:val="24"/>
        </w:rPr>
        <w:t>月</w:t>
      </w:r>
      <w:r>
        <w:rPr>
          <w:rFonts w:hint="default" w:ascii="仿宋_GB2312" w:hAnsi="Calibri" w:eastAsia="仿宋_GB2312" w:cs="Times New Roman"/>
          <w:spacing w:val="8"/>
          <w:sz w:val="28"/>
          <w:szCs w:val="24"/>
          <w:lang w:val="en-US" w:eastAsia="zh-CN"/>
        </w:rPr>
        <w:t>26</w:t>
      </w:r>
      <w:r>
        <w:rPr>
          <w:rFonts w:hint="eastAsia" w:ascii="仿宋_GB2312" w:hAnsi="Calibri" w:eastAsia="仿宋_GB2312" w:cs="Times New Roman"/>
          <w:spacing w:val="8"/>
          <w:sz w:val="28"/>
          <w:szCs w:val="24"/>
        </w:rPr>
        <w:t>日印发</w:t>
      </w:r>
    </w:p>
    <w:bookmarkEnd w:id="1"/>
    <w:p>
      <w:pPr>
        <w:pBdr>
          <w:top w:val="single" w:color="auto" w:sz="8" w:space="7"/>
        </w:pBdr>
        <w:overflowPunct w:val="0"/>
        <w:adjustRightInd w:val="0"/>
        <w:snapToGrid w:val="0"/>
        <w:spacing w:beforeLines="0" w:after="0" w:afterLines="0"/>
        <w:ind w:firstLine="0"/>
        <w:jc w:val="left"/>
        <w:rPr>
          <w:rFonts w:hint="eastAsia" w:ascii="仿宋_GB2312" w:hAnsi="Calibri" w:eastAsia="仿宋_GB2312" w:cs="Times New Roman"/>
          <w:spacing w:val="8"/>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长城仿宋">
    <w:altName w:val="宋体"/>
    <w:panose1 w:val="02010609000101010101"/>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false"/>
  <w:bordersDoNotSurroundFooter w:val="false"/>
  <w:documentProtection w:edit="readOnly" w:enforcement="0"/>
  <w:defaultTabStop w:val="420"/>
  <w:drawingGridHorizontalSpacing w:val="21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B42E1"/>
    <w:rsid w:val="2EBFE2AD"/>
    <w:rsid w:val="2FFB42E1"/>
    <w:rsid w:val="3FEFB1E8"/>
    <w:rsid w:val="75DE4C12"/>
    <w:rsid w:val="7D6D434D"/>
    <w:rsid w:val="AFFBD994"/>
    <w:rsid w:val="FAF7196B"/>
    <w:rsid w:val="FDBF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2026-01-15T16:06:00Z</dcterms:created>
  <dc:creator>陈欣欣</dc:creator>
  <cp:lastModifiedBy>陈欣欣</cp:lastModifiedBy>
  <dcterms:modified xsi:type="dcterms:W3CDTF">2026-01-27T09:54:33Z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214AFFB5BC57DC47134B6869F06A2094</vt:lpwstr>
  </property>
</Properties>
</file>