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2521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4A00F7A5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0DA1EB31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27C1FE8D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15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6DA59C5C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AD64133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0325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关于对泉为绿能投资（海南）有限公司、</w:t>
      </w:r>
    </w:p>
    <w:p w14:paraId="4BEA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褚一凡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24"/>
        </w:rPr>
        <w:t>采取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24"/>
          <w:lang w:eastAsia="zh-CN"/>
        </w:rPr>
        <w:t>责令改正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24"/>
        </w:rPr>
        <w:t>措施的决定</w:t>
      </w:r>
    </w:p>
    <w:p w14:paraId="525058CA">
      <w:pPr>
        <w:overflowPunct w:val="0"/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  <w:szCs w:val="32"/>
        </w:rPr>
      </w:pPr>
    </w:p>
    <w:p w14:paraId="1C1936C0">
      <w:pPr>
        <w:widowControl w:val="0"/>
        <w:overflowPunct w:val="0"/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24"/>
          <w:lang w:val="en-US" w:eastAsia="zh-CN"/>
        </w:rPr>
        <w:t>泉为绿能投资（海南）有限公司、褚一凡：</w:t>
      </w:r>
    </w:p>
    <w:p w14:paraId="23B008B4">
      <w:pPr>
        <w:widowControl w:val="0"/>
        <w:wordWrap/>
        <w:overflowPunct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 w:bidi="ar-SA"/>
        </w:rPr>
        <w:t>经查，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24"/>
          <w:lang w:val="en-US" w:eastAsia="zh-CN" w:bidi="ar-SA"/>
        </w:rPr>
        <w:t>泉为绿能投资（海南）有限公司（以下简称泉为绿能）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 w:bidi="ar-SA"/>
        </w:rPr>
        <w:t>作为广东泉为科技股份有限公司（以下简称ST泉为或公司）控股股东，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于2024年2月5日通过ST泉为发布股份增持公告，承诺自2024年2月6日起6个月内通过二级市场增持ST泉为240万至480万股股份；后经公司股东会审议通过，该增持计划顺延6个月至2025年2月5日止。2025年1月3日，泉为绿能增持10万股ST泉为股票，此后未再履行增持承诺。泉为绿能的上述行为，构成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上市公司监管指引第4号——上市公司及其相关方承诺》（证监会公告〔2022〕16号，以下简称《监管指引第4号》）第十五条规定的“违反承诺”情形。</w:t>
      </w:r>
    </w:p>
    <w:p w14:paraId="7E06FE5E">
      <w:pPr>
        <w:widowControl w:val="0"/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褚一凡作为泉为</w:t>
      </w:r>
      <w:bookmarkStart w:id="2" w:name="_GoBack"/>
      <w:bookmarkEnd w:id="2"/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绿能控股股东、执行董事兼总经理，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对泉为绿能上述违规行为负有主要责任。</w:t>
      </w:r>
    </w:p>
    <w:p w14:paraId="74B39A95">
      <w:pPr>
        <w:widowControl w:val="0"/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 w:ascii="Calibri" w:hAnsi="Calibri" w:eastAsia="宋体" w:cs="Times New Roman"/>
          <w:spacing w:val="6"/>
          <w:kern w:val="0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24"/>
          <w:highlight w:val="none"/>
          <w:shd w:val="clear" w:color="auto" w:fill="auto"/>
          <w:lang w:val="en-US" w:eastAsia="zh-CN" w:bidi="ar-SA"/>
        </w:rPr>
        <w:t>《中华人民共和国证券法》第一百七十条第二款、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《监管指引第4号》第十七条的相关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规定，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我局决定对你们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</w:rPr>
        <w:t>采取责令改正的监管措施。你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eastAsia="zh-CN"/>
        </w:rPr>
        <w:t>们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</w:rPr>
        <w:t>应高度重视上述问题，采取有效措施完成增持，并在收到决定书之日起十五日内向我局提交整改工作方案，包括整改措施、预计完成时间、整改责任人等内容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4490CA0">
      <w:pPr>
        <w:widowControl w:val="0"/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4"/>
        </w:rPr>
        <w:t>也可以在收到本决定书之日起6个月内向有管辖权的人民法院提起诉讼。复议与诉讼期间，上述监督管理措施不停止执行。</w:t>
      </w:r>
    </w:p>
    <w:p w14:paraId="5BE74414"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48E7BE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0637F1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3B418250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 w14:paraId="61AED3C1"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0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5274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3585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 w14:paraId="5A2359B8">
      <w:pPr>
        <w:widowControl w:val="0"/>
        <w:snapToGrid w:val="0"/>
        <w:spacing w:line="360" w:lineRule="auto"/>
        <w:ind w:firstLine="0"/>
        <w:jc w:val="both"/>
        <w:textAlignment w:val="baseline"/>
        <w:rPr>
          <w:rFonts w:hint="eastAsia" w:ascii="宋体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2C9A2498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textAlignment w:val="auto"/>
        <w:rPr>
          <w:rFonts w:ascii="长城仿宋" w:hAnsi="Times New Roman" w:eastAsia="长城仿宋" w:cs="Times New Roman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抄送：证监会上市司、法治司；深圳证券交易所。</w:t>
      </w:r>
    </w:p>
    <w:p w14:paraId="779C81BD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"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月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bookmarkEnd w:id="1"/>
    <w:p w14:paraId="38BDBD1C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8880D"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A592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A5925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6E4B"/>
    <w:rsid w:val="1BE6E2EE"/>
    <w:rsid w:val="3BFE6BF9"/>
    <w:rsid w:val="4DFF2653"/>
    <w:rsid w:val="7F775CED"/>
    <w:rsid w:val="7FDF723F"/>
    <w:rsid w:val="F0777B43"/>
    <w:rsid w:val="F7DFC4F5"/>
    <w:rsid w:val="FBFFF1E1"/>
    <w:rsid w:val="FDAF0CAB"/>
    <w:rsid w:val="FEF3255A"/>
    <w:rsid w:val="FEFEB05A"/>
    <w:rsid w:val="FFF3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2"/>
    <w:next w:val="1"/>
    <w:qFormat/>
    <w:uiPriority w:val="0"/>
    <w:rPr>
      <w:rFonts w:ascii="Times New Roman" w:hAnsi="Times New Roman" w:eastAsia="方正小标宋简体" w:cs="Times New Roman"/>
      <w:sz w:val="96"/>
    </w:rPr>
  </w:style>
  <w:style w:type="paragraph" w:customStyle="1" w:styleId="9">
    <w:name w:val="样式2"/>
    <w:basedOn w:val="5"/>
    <w:next w:val="1"/>
    <w:qFormat/>
    <w:uiPriority w:val="0"/>
    <w:rPr>
      <w:rFonts w:ascii="Arial" w:hAnsi="Arial" w:eastAsia="方正小标宋简体" w:cs="Times New Roman"/>
      <w:sz w:val="44"/>
    </w:rPr>
  </w:style>
  <w:style w:type="paragraph" w:customStyle="1" w:styleId="10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2025-12-08T08:46:00Z</dcterms:created>
  <dc:creator>黄小炜</dc:creator>
  <cp:lastModifiedBy>练巧春</cp:lastModifiedBy>
  <dcterms:modified xsi:type="dcterms:W3CDTF">2025-12-25T18:41:08Z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C885E81ADCD4F1AFC4144D69302F7815_43</vt:lpwstr>
  </property>
</Properties>
</file>