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1" w:name="_GoBack"/>
      <w:bookmarkEnd w:id="1"/>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40"/>
          <w:szCs w:val="40"/>
        </w:rPr>
      </w:pPr>
    </w:p>
    <w:p>
      <w:pPr>
        <w:snapToGrid w:val="0"/>
        <w:spacing w:before="156" w:beforeLines="50" w:line="300" w:lineRule="auto"/>
        <w:jc w:val="center"/>
        <w:rPr>
          <w:rFonts w:ascii="黑体" w:hAnsi="Times New Roman" w:eastAsia="黑体" w:cs="Times New Roman"/>
          <w:color w:val="000000"/>
          <w:spacing w:val="12"/>
          <w:sz w:val="32"/>
          <w:szCs w:val="20"/>
        </w:rPr>
      </w:pPr>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eastAsia="仿宋_GB2312" w:cs="Times New Roman"/>
          <w:color w:val="000000"/>
          <w:spacing w:val="12"/>
          <w:sz w:val="28"/>
          <w:szCs w:val="20"/>
          <w:lang w:val="en-US"/>
        </w:rPr>
        <w:t>145</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AV8uZj/QEAAPUDAAAO&#10;AAAAAAAAAAEAIAAAADsBAABkcnMvZTJvRG9jLnhtbFBLAQIUABQAAAAIAIdO4kDML7WS1gAAAAgB&#10;AAAPAAAAAAAAAAEAIAAAADgAAABkcnMvZG93bnJldi54bWxQSwECFAAKAAAAAACHTuJAAAAAAAAA&#10;AAAAAAAABAAAAAAAAAAAABAAAAAWAAAAZHJzL1BLBQYAAAAABgAGAFkBAACqBQAAAAA=&#10;">
                <v:fill on="f" focussize="0,0"/>
                <v:stroke weight="1pt" color="#FF0000" joinstyle="round"/>
                <v:imagedata o:title=""/>
                <o:lock v:ext="edit" aspectratio="f"/>
              </v:line>
            </w:pict>
          </mc:Fallback>
        </mc:AlternateContent>
      </w:r>
    </w:p>
    <w:p>
      <w:pPr>
        <w:jc w:val="center"/>
        <w:rPr>
          <w:rFonts w:hint="eastAsia"/>
          <w:sz w:val="28"/>
          <w:szCs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8"/>
          <w:highlight w:val="none"/>
          <w:lang w:eastAsia="zh-CN"/>
        </w:rPr>
      </w:pPr>
      <w:bookmarkStart w:id="0" w:name="quanwen"/>
      <w:r>
        <w:rPr>
          <w:rFonts w:hint="eastAsia" w:ascii="方正小标宋简体" w:hAnsi="方正小标宋简体" w:eastAsia="方正小标宋简体" w:cs="方正小标宋简体"/>
          <w:spacing w:val="0"/>
          <w:sz w:val="44"/>
          <w:szCs w:val="48"/>
          <w:highlight w:val="none"/>
        </w:rPr>
        <w:t>关于对广州市万隆证券咨询顾问有限公司</w:t>
      </w: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highlight w:val="none"/>
        </w:rPr>
      </w:pPr>
      <w:r>
        <w:rPr>
          <w:rFonts w:hint="eastAsia" w:ascii="方正小标宋简体" w:hAnsi="方正小标宋简体" w:eastAsia="方正小标宋简体" w:cs="方正小标宋简体"/>
          <w:spacing w:val="0"/>
          <w:sz w:val="44"/>
          <w:szCs w:val="48"/>
          <w:highlight w:val="none"/>
        </w:rPr>
        <w:t>采取</w:t>
      </w:r>
      <w:r>
        <w:rPr>
          <w:rFonts w:hint="eastAsia" w:ascii="方正小标宋简体" w:hAnsi="方正小标宋简体" w:eastAsia="方正小标宋简体" w:cs="方正小标宋简体"/>
          <w:spacing w:val="0"/>
          <w:sz w:val="44"/>
          <w:szCs w:val="44"/>
          <w:highlight w:val="none"/>
          <w:lang w:eastAsia="zh-CN"/>
        </w:rPr>
        <w:t>责令改正监管</w:t>
      </w:r>
      <w:r>
        <w:rPr>
          <w:rFonts w:hint="eastAsia" w:ascii="方正小标宋简体" w:hAnsi="方正小标宋简体" w:eastAsia="方正小标宋简体" w:cs="方正小标宋简体"/>
          <w:spacing w:val="0"/>
          <w:sz w:val="44"/>
          <w:szCs w:val="48"/>
          <w:highlight w:val="none"/>
        </w:rPr>
        <w:t>措施的决定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jc w:val="both"/>
        <w:textAlignment w:val="auto"/>
        <w:outlineLvl w:val="9"/>
        <w:rPr>
          <w:rFonts w:hint="eastAsia" w:ascii="方正小标宋简体" w:hAnsi="方正小标宋简体" w:eastAsia="方正小标宋简体" w:cs="方正小标宋简体"/>
          <w:color w:val="auto"/>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广州市万隆证券咨询顾问有限公司</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经查，你公司在开展证券投资顾问业务过程中存在以下</w:t>
      </w:r>
      <w:r>
        <w:rPr>
          <w:rFonts w:hint="eastAsia" w:ascii="仿宋_GB2312" w:hAnsi="宋体" w:eastAsia="仿宋_GB2312"/>
          <w:color w:val="auto"/>
          <w:spacing w:val="-6"/>
          <w:sz w:val="32"/>
          <w:szCs w:val="32"/>
          <w:highlight w:val="none"/>
          <w:lang w:val="en-US" w:eastAsia="zh-CN"/>
        </w:rPr>
        <w:t>违规行为</w:t>
      </w:r>
      <w:r>
        <w:rPr>
          <w:rFonts w:hint="eastAsia" w:ascii="仿宋_GB2312" w:hAnsi="仿宋_GB2312" w:eastAsia="仿宋_GB2312" w:cs="仿宋_GB2312"/>
          <w:color w:val="auto"/>
          <w:spacing w:val="0"/>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2" w:firstLineChars="200"/>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一是</w:t>
      </w:r>
      <w:r>
        <w:rPr>
          <w:rFonts w:hint="eastAsia" w:ascii="仿宋_GB2312" w:hAnsi="仿宋_GB2312" w:eastAsia="仿宋_GB2312" w:cs="仿宋_GB2312"/>
          <w:b w:val="0"/>
          <w:bCs w:val="0"/>
          <w:color w:val="auto"/>
          <w:spacing w:val="0"/>
          <w:sz w:val="32"/>
          <w:szCs w:val="32"/>
          <w:highlight w:val="none"/>
          <w:lang w:val="en-US" w:eastAsia="zh-CN"/>
        </w:rPr>
        <w:t>未定期开展适当性自查工作，投资者适当性管理执行不到位；</w:t>
      </w:r>
      <w:r>
        <w:rPr>
          <w:rFonts w:hint="eastAsia" w:ascii="仿宋_GB2312" w:hAnsi="仿宋_GB2312" w:eastAsia="仿宋_GB2312" w:cs="仿宋_GB2312"/>
          <w:b/>
          <w:bCs/>
          <w:color w:val="auto"/>
          <w:spacing w:val="0"/>
          <w:sz w:val="32"/>
          <w:szCs w:val="32"/>
          <w:highlight w:val="none"/>
          <w:lang w:val="en-US" w:eastAsia="zh-CN"/>
        </w:rPr>
        <w:t>二是</w:t>
      </w:r>
      <w:r>
        <w:rPr>
          <w:rFonts w:hint="eastAsia" w:ascii="仿宋_GB2312" w:hAnsi="仿宋_GB2312" w:eastAsia="仿宋_GB2312" w:cs="仿宋_GB2312"/>
          <w:b w:val="0"/>
          <w:bCs w:val="0"/>
          <w:color w:val="auto"/>
          <w:spacing w:val="0"/>
          <w:sz w:val="32"/>
          <w:szCs w:val="32"/>
          <w:highlight w:val="none"/>
          <w:lang w:val="en-US" w:eastAsia="zh-CN"/>
        </w:rPr>
        <w:t>合规系统建设不完善；</w:t>
      </w:r>
      <w:r>
        <w:rPr>
          <w:rFonts w:hint="eastAsia" w:ascii="仿宋_GB2312" w:hAnsi="仿宋_GB2312" w:eastAsia="仿宋_GB2312" w:cs="仿宋_GB2312"/>
          <w:b/>
          <w:bCs/>
          <w:color w:val="auto"/>
          <w:spacing w:val="0"/>
          <w:sz w:val="32"/>
          <w:szCs w:val="32"/>
          <w:highlight w:val="none"/>
          <w:lang w:val="en-US" w:eastAsia="zh-CN"/>
        </w:rPr>
        <w:t>三是</w:t>
      </w:r>
      <w:r>
        <w:rPr>
          <w:rFonts w:hint="eastAsia" w:ascii="仿宋_GB2312" w:hAnsi="仿宋_GB2312" w:eastAsia="仿宋_GB2312" w:cs="仿宋_GB2312"/>
          <w:b w:val="0"/>
          <w:bCs w:val="0"/>
          <w:color w:val="auto"/>
          <w:spacing w:val="0"/>
          <w:sz w:val="32"/>
          <w:szCs w:val="32"/>
          <w:highlight w:val="none"/>
          <w:lang w:val="en-US" w:eastAsia="zh-CN"/>
        </w:rPr>
        <w:t>部分营销话术存在虚假、夸大或误导性内容；</w:t>
      </w:r>
      <w:r>
        <w:rPr>
          <w:rFonts w:hint="eastAsia" w:ascii="仿宋_GB2312" w:hAnsi="仿宋_GB2312" w:eastAsia="仿宋_GB2312" w:cs="仿宋_GB2312"/>
          <w:b/>
          <w:bCs/>
          <w:color w:val="auto"/>
          <w:spacing w:val="0"/>
          <w:sz w:val="32"/>
          <w:szCs w:val="32"/>
          <w:highlight w:val="none"/>
          <w:lang w:val="en-US" w:eastAsia="zh-CN"/>
        </w:rPr>
        <w:t>四是</w:t>
      </w:r>
      <w:r>
        <w:rPr>
          <w:rFonts w:hint="eastAsia" w:ascii="仿宋_GB2312" w:hAnsi="仿宋_GB2312" w:eastAsia="仿宋_GB2312" w:cs="仿宋_GB2312"/>
          <w:b w:val="0"/>
          <w:bCs w:val="0"/>
          <w:color w:val="auto"/>
          <w:spacing w:val="0"/>
          <w:sz w:val="32"/>
          <w:szCs w:val="32"/>
          <w:highlight w:val="none"/>
          <w:lang w:val="en-US" w:eastAsia="zh-CN"/>
        </w:rPr>
        <w:t>个别未在中国证券业协会注册登记为证券投资顾问的员工向客户提供投资建议；</w:t>
      </w:r>
      <w:r>
        <w:rPr>
          <w:rFonts w:hint="eastAsia" w:ascii="仿宋_GB2312" w:hAnsi="仿宋_GB2312" w:eastAsia="仿宋_GB2312" w:cs="仿宋_GB2312"/>
          <w:b/>
          <w:bCs/>
          <w:color w:val="auto"/>
          <w:spacing w:val="0"/>
          <w:sz w:val="32"/>
          <w:szCs w:val="32"/>
          <w:highlight w:val="none"/>
          <w:lang w:val="en-US" w:eastAsia="zh-CN"/>
        </w:rPr>
        <w:t>五是</w:t>
      </w:r>
      <w:r>
        <w:rPr>
          <w:rFonts w:hint="eastAsia" w:ascii="仿宋_GB2312" w:hAnsi="仿宋_GB2312" w:eastAsia="仿宋_GB2312" w:cs="仿宋_GB2312"/>
          <w:b w:val="0"/>
          <w:bCs w:val="0"/>
          <w:color w:val="auto"/>
          <w:spacing w:val="0"/>
          <w:sz w:val="32"/>
          <w:szCs w:val="32"/>
          <w:highlight w:val="none"/>
          <w:lang w:val="en-US" w:eastAsia="zh-CN"/>
        </w:rPr>
        <w:t>向未与公司签订证券投资顾问服务协议的人员提供投资建议；</w:t>
      </w:r>
      <w:r>
        <w:rPr>
          <w:rFonts w:hint="eastAsia" w:ascii="仿宋_GB2312" w:hAnsi="仿宋_GB2312" w:eastAsia="仿宋_GB2312" w:cs="仿宋_GB2312"/>
          <w:b/>
          <w:bCs/>
          <w:color w:val="auto"/>
          <w:spacing w:val="0"/>
          <w:sz w:val="32"/>
          <w:szCs w:val="32"/>
          <w:highlight w:val="none"/>
          <w:lang w:val="en-US" w:eastAsia="zh-CN"/>
        </w:rPr>
        <w:t>六是</w:t>
      </w:r>
      <w:r>
        <w:rPr>
          <w:rFonts w:hint="eastAsia" w:ascii="仿宋_GB2312" w:hAnsi="仿宋_GB2312" w:eastAsia="仿宋_GB2312" w:cs="仿宋_GB2312"/>
          <w:b w:val="0"/>
          <w:bCs w:val="0"/>
          <w:color w:val="auto"/>
          <w:spacing w:val="0"/>
          <w:sz w:val="32"/>
          <w:szCs w:val="32"/>
          <w:highlight w:val="none"/>
          <w:lang w:val="en-US" w:eastAsia="zh-CN"/>
        </w:rPr>
        <w:t>部分投资建议缺少合理依据、未充分提示风险。</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上述行为违反了《证券期货投资者适当性管理办法》（证监会令〔第202号〕，以下简称《适当性管理办法》）第三条、第三十条，以及《证券投资顾问业务暂行规定》（证监会公告〔2020〕66号，以下简称《业务暂行规定》）第三条、第七条、第十四条第一款、第十六条、十九条、第二十四条的规定。</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根据《适当性管理办法》第三十七条、《业务暂行规定》第三十二条的规定，现决定对你公司采取责令改正的监管措施。</w:t>
      </w:r>
      <w:r>
        <w:rPr>
          <w:rFonts w:hint="eastAsia" w:ascii="仿宋_GB2312" w:hAnsi="仿宋_GB2312" w:eastAsia="仿宋_GB2312" w:cs="仿宋_GB2312"/>
          <w:sz w:val="32"/>
          <w:highlight w:val="none"/>
        </w:rPr>
        <w:t>你</w:t>
      </w:r>
      <w:r>
        <w:rPr>
          <w:rFonts w:hint="eastAsia" w:ascii="仿宋_GB2312" w:hAnsi="仿宋_GB2312" w:eastAsia="仿宋_GB2312" w:cs="仿宋_GB2312"/>
          <w:sz w:val="32"/>
          <w:highlight w:val="none"/>
          <w:lang w:eastAsia="zh-CN"/>
        </w:rPr>
        <w:t>公司</w:t>
      </w:r>
      <w:r>
        <w:rPr>
          <w:rFonts w:hint="eastAsia" w:ascii="仿宋_GB2312" w:hAnsi="仿宋_GB2312" w:eastAsia="仿宋_GB2312" w:cs="仿宋_GB2312"/>
          <w:sz w:val="32"/>
          <w:highlight w:val="none"/>
        </w:rPr>
        <w:t>应</w:t>
      </w:r>
      <w:r>
        <w:rPr>
          <w:rFonts w:hint="eastAsia" w:ascii="仿宋_GB2312" w:hAnsi="仿宋_GB2312" w:eastAsia="仿宋_GB2312" w:cs="仿宋_GB2312"/>
          <w:sz w:val="32"/>
          <w:highlight w:val="none"/>
          <w:lang w:eastAsia="zh-CN"/>
        </w:rPr>
        <w:t>高度重视</w:t>
      </w:r>
      <w:r>
        <w:rPr>
          <w:rFonts w:hint="eastAsia" w:ascii="仿宋_GB2312" w:hAnsi="仿宋_GB2312" w:eastAsia="仿宋_GB2312" w:cs="仿宋_GB2312"/>
          <w:sz w:val="32"/>
          <w:highlight w:val="none"/>
        </w:rPr>
        <w:t>，</w:t>
      </w:r>
      <w:r>
        <w:rPr>
          <w:rFonts w:hint="eastAsia" w:ascii="仿宋_GB2312" w:hAnsi="仿宋_GB2312" w:eastAsia="仿宋_GB2312" w:cs="仿宋_GB2312"/>
          <w:sz w:val="32"/>
          <w:highlight w:val="none"/>
          <w:lang w:eastAsia="zh-CN"/>
        </w:rPr>
        <w:t>采取切实</w:t>
      </w:r>
      <w:r>
        <w:rPr>
          <w:rFonts w:hint="eastAsia" w:ascii="仿宋_GB2312" w:hAnsi="仿宋_GB2312" w:eastAsia="仿宋_GB2312" w:cs="仿宋_GB2312"/>
          <w:spacing w:val="0"/>
          <w:sz w:val="32"/>
          <w:highlight w:val="none"/>
          <w:lang w:eastAsia="zh-CN"/>
        </w:rPr>
        <w:t>有效措施对存在的问题进行整改，并在收到本决定书之日起</w:t>
      </w:r>
      <w:r>
        <w:rPr>
          <w:rFonts w:hint="eastAsia" w:ascii="仿宋_GB2312" w:hAnsi="仿宋_GB2312" w:eastAsia="仿宋_GB2312" w:cs="仿宋_GB2312"/>
          <w:spacing w:val="0"/>
          <w:sz w:val="32"/>
          <w:highlight w:val="none"/>
          <w:lang w:val="en-US" w:eastAsia="zh-CN"/>
        </w:rPr>
        <w:t>30日内</w:t>
      </w:r>
      <w:r>
        <w:rPr>
          <w:rFonts w:hint="eastAsia" w:ascii="仿宋_GB2312" w:hAnsi="仿宋_GB2312" w:eastAsia="仿宋_GB2312" w:cs="仿宋_GB2312"/>
          <w:spacing w:val="0"/>
          <w:sz w:val="32"/>
          <w:highlight w:val="none"/>
          <w:lang w:eastAsia="zh-CN"/>
        </w:rPr>
        <w:t>向我局</w:t>
      </w:r>
      <w:r>
        <w:rPr>
          <w:rFonts w:hint="eastAsia" w:ascii="仿宋_GB2312" w:hAnsi="仿宋_GB2312" w:eastAsia="仿宋_GB2312" w:cs="仿宋_GB2312"/>
          <w:spacing w:val="0"/>
          <w:sz w:val="32"/>
          <w:highlight w:val="none"/>
        </w:rPr>
        <w:t>提交书面整改报</w:t>
      </w:r>
      <w:r>
        <w:rPr>
          <w:rFonts w:hint="eastAsia" w:ascii="仿宋_GB2312" w:hAnsi="仿宋_GB2312" w:eastAsia="仿宋_GB2312" w:cs="仿宋_GB2312"/>
          <w:sz w:val="32"/>
          <w:highlight w:val="none"/>
        </w:rPr>
        <w:t>告</w:t>
      </w:r>
      <w:r>
        <w:rPr>
          <w:rFonts w:hint="eastAsia" w:ascii="仿宋_GB2312" w:hAnsi="仿宋_GB2312" w:eastAsia="仿宋_GB2312" w:cs="仿宋"/>
          <w:color w:val="auto"/>
          <w:sz w:val="32"/>
          <w:szCs w:val="30"/>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32"/>
          <w:szCs w:val="32"/>
          <w:highlight w:val="none"/>
          <w:lang w:eastAsia="zh-CN"/>
        </w:rPr>
        <w:t>如</w:t>
      </w:r>
      <w:r>
        <w:rPr>
          <w:rFonts w:hint="eastAsia" w:ascii="仿宋_GB2312" w:hAnsi="仿宋_GB2312" w:eastAsia="仿宋_GB2312" w:cs="仿宋_GB2312"/>
          <w:color w:val="000000"/>
          <w:sz w:val="32"/>
          <w:szCs w:val="32"/>
          <w:highlight w:val="none"/>
        </w:rPr>
        <w:t>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pStyle w:val="9"/>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12</w:t>
      </w:r>
      <w:r>
        <w:rPr>
          <w:rFonts w:hint="eastAsia" w:ascii="仿宋_GB2312" w:hAnsi="Times New Roman" w:eastAsia="仿宋_GB2312" w:cs="Times New Roman"/>
          <w:color w:val="000000"/>
          <w:spacing w:val="10"/>
          <w:sz w:val="32"/>
          <w:szCs w:val="32"/>
        </w:rPr>
        <w:t>月</w:t>
      </w:r>
      <w:r>
        <w:rPr>
          <w:rFonts w:hint="default" w:ascii="仿宋_GB2312" w:cs="Times New Roman"/>
          <w:color w:val="000000"/>
          <w:spacing w:val="10"/>
          <w:sz w:val="32"/>
          <w:szCs w:val="32"/>
          <w:lang w:val="en-US" w:eastAsia="zh-CN"/>
        </w:rPr>
        <w:t>2</w:t>
      </w:r>
      <w:r>
        <w:rPr>
          <w:rFonts w:hint="eastAsia" w:ascii="仿宋_GB2312" w:hAnsi="Times New Roman" w:eastAsia="仿宋_GB2312" w:cs="Times New Roman"/>
          <w:color w:val="000000"/>
          <w:spacing w:val="10"/>
          <w:sz w:val="32"/>
          <w:szCs w:val="32"/>
        </w:rPr>
        <w:t>日</w:t>
      </w:r>
    </w:p>
    <w:p>
      <w:pPr>
        <w:snapToGrid w:val="0"/>
        <w:spacing w:line="360" w:lineRule="auto"/>
        <w:ind w:right="28"/>
        <w:jc w:val="left"/>
        <w:rPr>
          <w:rFonts w:hint="eastAsia" w:ascii="黑体" w:hAnsi="Times New Roman" w:eastAsia="黑体" w:cs="Times New Roman"/>
          <w:b w:val="0"/>
          <w:bCs w:val="0"/>
          <w:spacing w:val="8"/>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snapToGrid w:val="0"/>
        <w:spacing w:line="300" w:lineRule="auto"/>
        <w:ind w:right="26"/>
        <w:jc w:val="left"/>
        <w:rPr>
          <w:rFonts w:hint="eastAsia" w:ascii="黑体" w:eastAsia="黑体"/>
          <w:spacing w:val="8"/>
          <w:sz w:val="32"/>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eastAsia="长城仿宋"/>
          <w:sz w:val="28"/>
        </w:rPr>
      </w:pPr>
      <w:r>
        <w:rPr>
          <w:rFonts w:hint="eastAsia" w:ascii="仿宋_GB2312" w:eastAsia="仿宋_GB2312"/>
          <w:spacing w:val="8"/>
          <w:sz w:val="28"/>
        </w:rPr>
        <w:t>抄送：证监会机构司、法治司。</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eastAsia="仿宋_GB2312"/>
          <w:spacing w:val="8"/>
          <w:sz w:val="28"/>
        </w:rPr>
      </w:pPr>
      <w:r>
        <w:rPr>
          <w:rFonts w:hint="eastAsia" w:ascii="仿宋_GB2312" w:eastAsia="仿宋_GB2312"/>
          <w:spacing w:val="8"/>
          <w:sz w:val="28"/>
        </w:rPr>
        <w:t xml:space="preserve">广东证监局办公室              </w:t>
      </w:r>
      <w:r>
        <w:rPr>
          <w:rFonts w:hint="default" w:ascii="仿宋_GB2312" w:eastAsia="仿宋_GB2312"/>
          <w:spacing w:val="8"/>
          <w:sz w:val="28"/>
          <w:lang w:val="en-US"/>
        </w:rPr>
        <w:t xml:space="preserve">    </w:t>
      </w:r>
      <w:r>
        <w:rPr>
          <w:rFonts w:hint="eastAsia" w:ascii="仿宋_GB2312" w:eastAsia="仿宋_GB2312"/>
          <w:spacing w:val="8"/>
          <w:sz w:val="28"/>
        </w:rPr>
        <w:t xml:space="preserve"> </w:t>
      </w:r>
      <w:r>
        <w:rPr>
          <w:rFonts w:hint="default" w:ascii="仿宋_GB2312" w:eastAsia="仿宋_GB2312"/>
          <w:spacing w:val="8"/>
          <w:sz w:val="28"/>
          <w:lang w:val="en" w:eastAsia="zh-CN"/>
        </w:rPr>
        <w:t>202</w:t>
      </w:r>
      <w:r>
        <w:rPr>
          <w:rFonts w:hint="default" w:ascii="仿宋_GB2312" w:eastAsia="仿宋_GB2312"/>
          <w:spacing w:val="8"/>
          <w:sz w:val="28"/>
          <w:lang w:val="en-US" w:eastAsia="zh-CN"/>
        </w:rPr>
        <w:t>5</w:t>
      </w:r>
      <w:r>
        <w:rPr>
          <w:rFonts w:hint="eastAsia" w:ascii="仿宋_GB2312" w:eastAsia="仿宋_GB2312"/>
          <w:spacing w:val="8"/>
          <w:sz w:val="28"/>
        </w:rPr>
        <w:t>年</w:t>
      </w:r>
      <w:r>
        <w:rPr>
          <w:rFonts w:hint="eastAsia" w:ascii="仿宋_GB2312" w:eastAsia="仿宋_GB2312"/>
          <w:spacing w:val="8"/>
          <w:sz w:val="28"/>
          <w:lang w:val="en-US" w:eastAsia="zh-CN"/>
        </w:rPr>
        <w:t>1</w:t>
      </w:r>
      <w:r>
        <w:rPr>
          <w:rFonts w:hint="default" w:ascii="仿宋_GB2312" w:eastAsia="仿宋_GB2312"/>
          <w:spacing w:val="8"/>
          <w:sz w:val="28"/>
          <w:lang w:val="en-US" w:eastAsia="zh-CN"/>
        </w:rPr>
        <w:t>2</w:t>
      </w:r>
      <w:r>
        <w:rPr>
          <w:rFonts w:hint="eastAsia" w:ascii="仿宋_GB2312" w:eastAsia="仿宋_GB2312"/>
          <w:spacing w:val="8"/>
          <w:sz w:val="28"/>
        </w:rPr>
        <w:t>月</w:t>
      </w:r>
      <w:r>
        <w:rPr>
          <w:rFonts w:hint="default" w:ascii="仿宋_GB2312" w:eastAsia="仿宋_GB2312"/>
          <w:spacing w:val="8"/>
          <w:sz w:val="28"/>
          <w:lang w:val="en-US"/>
        </w:rPr>
        <w:t>2</w:t>
      </w:r>
      <w:r>
        <w:rPr>
          <w:rFonts w:hint="eastAsia" w:ascii="仿宋_GB2312" w:eastAsia="仿宋_GB2312"/>
          <w:spacing w:val="8"/>
          <w:sz w:val="28"/>
        </w:rPr>
        <w:t>日印发</w:t>
      </w:r>
    </w:p>
    <w:p>
      <w:pPr>
        <w:keepNext w:val="0"/>
        <w:keepLines w:val="0"/>
        <w:pageBreakBefore w:val="0"/>
        <w:widowControl w:val="0"/>
        <w:pBdr>
          <w:top w:val="single" w:color="auto" w:sz="8" w:space="7"/>
        </w:pBdr>
        <w:kinsoku/>
        <w:wordWrap/>
        <w:overflowPunct/>
        <w:topLinePunct w:val="0"/>
        <w:autoSpaceDE/>
        <w:autoSpaceDN/>
        <w:bidi w:val="0"/>
        <w:adjustRightInd w:val="0"/>
        <w:snapToGrid w:val="0"/>
        <w:spacing w:beforeLines="0" w:afterLines="0" w:line="240" w:lineRule="auto"/>
        <w:ind w:firstLine="0"/>
        <w:jc w:val="left"/>
        <w:textAlignment w:val="auto"/>
        <w:rPr>
          <w:rFonts w:hint="eastAsia" w:ascii="仿宋_GB2312" w:eastAsia="仿宋_GB2312"/>
          <w:spacing w:val="8"/>
          <w:sz w:val="2"/>
          <w:szCs w:val="2"/>
        </w:rPr>
      </w:pPr>
    </w:p>
    <w:bookmarkEnd w:id="0"/>
    <w:p>
      <w:pPr>
        <w:snapToGrid w:val="0"/>
        <w:spacing w:beforeLines="0" w:afterLines="0"/>
        <w:rPr>
          <w:sz w:val="2"/>
          <w:szCs w:val="2"/>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1F00FF" w:csb1="FFFF0000"/>
  </w:font>
  <w:font w:name="长城仿宋">
    <w:altName w:val="方正仿宋_GBK"/>
    <w:panose1 w:val="02010609000101010101"/>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F4aj18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61F90"/>
    <w:rsid w:val="0FBBB0EF"/>
    <w:rsid w:val="4DFFF2FE"/>
    <w:rsid w:val="7DCD6B0D"/>
    <w:rsid w:val="7F361F90"/>
    <w:rsid w:val="B7BB146D"/>
    <w:rsid w:val="FE6B563B"/>
    <w:rsid w:val="FFE9B8EE"/>
    <w:rsid w:val="FFF59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Body Text"/>
    <w:basedOn w:val="1"/>
    <w:unhideWhenUsed/>
    <w:qFormat/>
    <w:uiPriority w:val="99"/>
    <w:pPr>
      <w:jc w:val="center"/>
    </w:pPr>
    <w:rPr>
      <w:rFonts w:eastAsia="黑体"/>
      <w:kern w:val="0"/>
      <w:sz w:val="44"/>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p0"/>
    <w:basedOn w:val="1"/>
    <w:qFormat/>
    <w:uiPriority w:val="0"/>
    <w:pPr>
      <w:widowControl/>
    </w:pPr>
    <w:rPr>
      <w:rFonts w:hint="eastAsia"/>
    </w:rPr>
  </w:style>
  <w:style w:type="paragraph" w:customStyle="1" w:styleId="10">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2025-11-22T08:57:00Z</dcterms:created>
  <dc:creator>梁庆：其他人员改稿</dc:creator>
  <cp:lastModifiedBy>梁庆</cp:lastModifiedBy>
  <dcterms:modified xsi:type="dcterms:W3CDTF">2025-12-05T13:37:09Z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ABC6AD9261E91BF3856F32693C47EC14</vt:lpwstr>
  </property>
</Properties>
</file>