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132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对腾越建筑科技集团有限公司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</w:p>
    <w:p>
      <w:pPr>
        <w:snapToGrid w:val="0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杨惠妍、陈嘉佳、杨泽辉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采取</w:t>
      </w:r>
    </w:p>
    <w:p>
      <w:pPr>
        <w:snapToGrid w:val="0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措施的决定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 w:firstLineChars="0"/>
        <w:textAlignment w:val="auto"/>
        <w:outlineLvl w:val="9"/>
        <w:rPr>
          <w:rFonts w:hint="eastAsia" w:ascii="仿宋_GB2312" w:hAnsi="仿宋_GB2312" w:eastAsia="仿宋_GB2312"/>
          <w:spacing w:val="0"/>
          <w:kern w:val="0"/>
          <w:sz w:val="32"/>
        </w:rPr>
      </w:pPr>
      <w:r>
        <w:rPr>
          <w:rFonts w:hint="eastAsia" w:ascii="仿宋_GB2312" w:hAnsi="仿宋_GB2312" w:eastAsia="仿宋_GB2312"/>
          <w:spacing w:val="0"/>
          <w:kern w:val="0"/>
          <w:sz w:val="32"/>
        </w:rPr>
        <w:t>腾越建筑科技集团有限公司、杨惠妍、陈嘉佳、杨泽辉：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经查，腾越建筑科技集团有限公司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（以下简称腾越建筑或公司）作为公司债券发行人，未及时披露公司名称变动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，公司三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分之一以上董事、三分之二以上监事、总经理变动，公司被列为失信被执行人及重大诉讼、仲裁事项，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上述行为违反了《公司债券发行与交易管理办法》（证监会令第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号）第四条，第五十四条第一款、第二款第九项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、第十一项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，《公司债券发行与交易管理办法》（证监会令第222号）第四条，第五十四条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第一款、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第二款第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、第十二项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，《公司信用类债券信息披露管理办法》（中国人民银行 中华人民共和国国家发展和改革委员会 中国证券监督管理委员会公告〔2020〕第22号）第五条第一款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第七条第一款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第十八条第一款、第二款第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项、第三项、第十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公司时任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董事长杨惠妍，信息披露事务负责人陈嘉佳，董事、总经理兼信息披露事务负责人杨泽辉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未按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《公司债券发行与交易管理办法》（证监会令第180号）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第五十三条第三款，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《公司债券发行与交易管理办法》（证监会令第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第五十三条第三款和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《公司信用类债券信息披露管理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办法》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七条第一款，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第九条第一款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的规定保证公司履行信息披露义务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对上述有关事项负有主要责任。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《公司债券发行与交易管理办法》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（证监会令第222号）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第六十九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《公司信用类债券信息披露管理办法》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第三十七条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</w:rPr>
        <w:t>规定，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我局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决定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对腾越建筑、杨惠妍、陈嘉佳、杨泽辉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采取出具警示函的行政监管措施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应当高度重视存在的有关问题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，切实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进行整改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依法依规履行信息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披露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义务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维护债券持有人的合法权益。公司应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于收到本决定书30日内向我局报送整改报告，并抄报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上海证券交易所。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center"/>
        <w:outlineLvl w:val="9"/>
        <w:rPr>
          <w:rFonts w:hint="eastAsia" w:ascii="仿宋_GB2312" w:eastAsia="仿宋_GB2312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1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/>
        </w:rPr>
        <w:t>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20"/>
          <w:szCs w:val="20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>抄送：证监会债券司、法治司；</w:t>
      </w: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>上海证券交易所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，</w:t>
      </w:r>
      <w:r>
        <w:rPr>
          <w:rFonts w:hint="eastAsia" w:ascii="仿宋_GB2312" w:eastAsia="仿宋_GB2312"/>
          <w:spacing w:val="8"/>
          <w:sz w:val="28"/>
        </w:rPr>
        <w:t>深圳证券交易所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，</w:t>
      </w:r>
      <w:r>
        <w:rPr>
          <w:rFonts w:hint="eastAsia" w:ascii="仿宋_GB2312" w:eastAsia="仿宋_GB2312"/>
          <w:spacing w:val="8"/>
          <w:sz w:val="28"/>
        </w:rPr>
        <w:t>北京证券交易所；</w:t>
      </w: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中国证券业协会；</w:t>
      </w:r>
      <w:r>
        <w:rPr>
          <w:rFonts w:hint="eastAsia" w:ascii="仿宋_GB2312" w:eastAsia="仿宋_GB2312"/>
          <w:spacing w:val="8"/>
          <w:sz w:val="28"/>
          <w:lang w:eastAsia="zh-CN"/>
        </w:rPr>
        <w:t>国泰海通证券股份有限公司。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1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17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2355"/>
    <w:rsid w:val="357EA844"/>
    <w:rsid w:val="3DDDA0C7"/>
    <w:rsid w:val="77F708CF"/>
    <w:rsid w:val="7FEA2355"/>
    <w:rsid w:val="7FFB5A34"/>
    <w:rsid w:val="AFFF2108"/>
    <w:rsid w:val="B6DCCFAC"/>
    <w:rsid w:val="BFFA65CF"/>
    <w:rsid w:val="CBAF3942"/>
    <w:rsid w:val="DFFF8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2025-11-09T09:09:00Z</dcterms:created>
  <dc:creator>陈成：其他人员改稿</dc:creator>
  <cp:lastModifiedBy>陈成</cp:lastModifiedBy>
  <dcterms:modified xsi:type="dcterms:W3CDTF">2025-11-19T15:12:04Z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BB1D7CDCD845A07643E4136986603D2E</vt:lpwstr>
  </property>
</Properties>
</file>