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44"/>
          <w:szCs w:val="44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eastAsia="仿宋_GB2312" w:cs="Times New Roman"/>
          <w:color w:val="000000"/>
          <w:spacing w:val="12"/>
          <w:sz w:val="28"/>
          <w:szCs w:val="20"/>
          <w:lang w:val="en-US"/>
        </w:rPr>
        <w:t>117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ML7WS1gAAAAgBAAAPAAAAAAAAAAEAIAAAADgAAABkcnMvZG93bnJldi54bWxQ&#10;SwECFAAUAAAACACHTuJAIhmvX+MBAACqAwAADgAAAAAAAAABACAAAAA7AQAAZHJzL2Uyb0RvYy54&#10;bWxQSwUGAAAAAAYABgBZAQAAkA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snapToGrid w:val="0"/>
        <w:spacing w:beforeLines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quanwen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关于对广东立信资产土地房地产评估咨询</w:t>
      </w:r>
    </w:p>
    <w:p>
      <w:pPr>
        <w:snapToGrid w:val="0"/>
        <w:spacing w:beforeLines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有限公司采取出具警示函措施的决定</w:t>
      </w:r>
    </w:p>
    <w:p>
      <w:pPr>
        <w:adjustRightInd w:val="0"/>
        <w:snapToGrid w:val="0"/>
        <w:spacing w:beforeLines="0" w:afterLines="0" w:line="240" w:lineRule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overflowPunct w:val="0"/>
        <w:adjustRightInd w:val="0"/>
        <w:snapToGrid w:val="0"/>
        <w:spacing w:beforeLines="0" w:afterLines="0" w:line="336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广东立信资产土地房地产评估咨询有限公司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经查，你公司从事证券服务业务，未按规定向中国证券监督管理委员会备案。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不符合《资产评估机构从事证券服务业务备案办法》（财资〔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）的要求，违反了《证券法》第一百六十条第二款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证券法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第一百七十条第二款的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规定，我局决定对你公司采取出具警示函的监督管理措施。你公司应充分吸取教训，加强相关法律法规学习，提高规范运作意识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杜绝此类问题再次发生</w:t>
      </w:r>
      <w:r>
        <w:rPr>
          <w:rFonts w:hint="eastAsia" w:ascii="仿宋_GB2312" w:hAnsi="仿宋" w:eastAsia="仿宋_GB2312"/>
          <w:color w:val="000000"/>
          <w:spacing w:val="0"/>
          <w:sz w:val="32"/>
          <w:szCs w:val="30"/>
          <w:highlight w:val="none"/>
          <w:lang w:val="en-US" w:eastAsia="zh-CN"/>
        </w:rPr>
        <w:t>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对本监督管理措施不服，可以在收到本决定书之日起60日内向中国证券监督管理委员会提出行政复议申请，也可以在收到本决定书之日起6个月内向有管辖权的人民法院提起诉讼。复议与诉讼期间，上述监督管理措施不停止执行。</w:t>
      </w:r>
    </w:p>
    <w:p>
      <w:pPr>
        <w:pStyle w:val="8"/>
        <w:widowControl w:val="0"/>
        <w:overflowPunct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/>
        </w:rPr>
        <w:t>24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bookmarkEnd w:id="0"/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2097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仿宋">
    <w:altName w:val="宋体"/>
    <w:panose1 w:val="02010609000101010101"/>
    <w:charset w:val="00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true"/>
  <w:embedSystemFonts/>
  <w:bordersDoNotSurroundHeader w:val="false"/>
  <w:bordersDoNotSurroundFooter w:val="false"/>
  <w:documentProtection w:edit="readOnly"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9536"/>
    <w:rsid w:val="33BFDEDF"/>
    <w:rsid w:val="477B43C0"/>
    <w:rsid w:val="6F5F45D2"/>
    <w:rsid w:val="7ABF4078"/>
    <w:rsid w:val="7CDD502E"/>
    <w:rsid w:val="7FF7AD0F"/>
    <w:rsid w:val="DF9F6BB0"/>
    <w:rsid w:val="F4590EF6"/>
    <w:rsid w:val="F9F76134"/>
    <w:rsid w:val="FCED2FF1"/>
    <w:rsid w:val="FFFD9536"/>
    <w:rsid w:val="FFFEF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/>
      <w:textAlignment w:val="baseline"/>
    </w:pPr>
    <w:rPr>
      <w:rFonts w:ascii="宋体" w:hAnsi="Calibri"/>
      <w:kern w:val="0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9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2025-10-02T07:55:00Z</dcterms:created>
  <dc:creator>吕丽妮</dc:creator>
  <cp:lastModifiedBy>吕丽妮</cp:lastModifiedBy>
  <dcterms:modified xsi:type="dcterms:W3CDTF">2025-10-27T10:56:20Z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011291B1053E9C0C33F6ED682CF9791E</vt:lpwstr>
  </property>
</Properties>
</file>