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jc w:val="center"/>
        <w:rPr>
          <w:rFonts w:hint="eastAsia" w:ascii="方正小标宋简体" w:hAnsi="方正小标宋简体" w:eastAsia="方正小标宋简体"/>
          <w:b/>
          <w:color w:val="FF0000"/>
          <w:w w:val="95"/>
          <w:kern w:val="0"/>
          <w:sz w:val="44"/>
          <w:szCs w:val="116"/>
        </w:rPr>
      </w:pPr>
      <w:r>
        <w:rPr>
          <w:rFonts w:hint="eastAsia" w:ascii="方正小标宋简体" w:hAnsi="方正小标宋简体" w:eastAsia="方正小标宋简体" w:cs="黑体"/>
          <w:b/>
          <w:color w:val="FF0000"/>
          <w:w w:val="95"/>
          <w:sz w:val="44"/>
          <w:szCs w:val="72"/>
        </w:rPr>
        <w:t>中国证券监督管理委员会广东监管局</w:t>
      </w:r>
    </w:p>
    <w:p>
      <w:pPr>
        <w:jc w:val="center"/>
        <w:rPr>
          <w:rFonts w:hint="eastAsia" w:ascii="方正小标宋简体" w:hAnsi="方正小标宋简体" w:eastAsia="方正小标宋简体"/>
          <w:snapToGrid w:val="0"/>
          <w:spacing w:val="85"/>
          <w:w w:val="90"/>
          <w:sz w:val="72"/>
          <w:szCs w:val="72"/>
        </w:rPr>
      </w:pPr>
      <w:r>
        <w:rPr>
          <w:rFonts w:hint="eastAsia" w:ascii="方正小标宋简体" w:hAnsi="方正小标宋简体" w:eastAsia="方正小标宋简体"/>
          <w:b/>
          <w:bCs/>
          <w:snapToGrid w:val="0"/>
          <w:color w:val="FF0000"/>
          <w:spacing w:val="85"/>
          <w:w w:val="90"/>
          <w:sz w:val="72"/>
          <w:szCs w:val="72"/>
        </w:rPr>
        <w:t>行政监管措施决定书</w:t>
      </w:r>
    </w:p>
    <w:p>
      <w:pPr>
        <w:snapToGrid w:val="0"/>
        <w:jc w:val="center"/>
        <w:rPr>
          <w:rFonts w:hint="eastAsia" w:ascii="仿宋_GB2312" w:hAnsi="仿宋_GB2312" w:eastAsia="仿宋_GB2312" w:cs="宋体"/>
          <w:sz w:val="44"/>
          <w:szCs w:val="44"/>
        </w:rPr>
      </w:pPr>
    </w:p>
    <w:p>
      <w:pPr>
        <w:snapToGrid w:val="0"/>
        <w:spacing w:before="156" w:beforeLines="50" w:line="300" w:lineRule="auto"/>
        <w:jc w:val="center"/>
        <w:rPr>
          <w:rFonts w:ascii="黑体" w:hAnsi="Times New Roman" w:eastAsia="黑体" w:cs="Times New Roman"/>
          <w:color w:val="000000"/>
          <w:spacing w:val="12"/>
          <w:sz w:val="32"/>
          <w:szCs w:val="20"/>
        </w:rPr>
      </w:pPr>
      <w:r>
        <w:rPr>
          <w:rFonts w:hint="eastAsia" w:ascii="仿宋_GB2312" w:hAnsi="Times New Roman" w:eastAsia="仿宋_GB2312" w:cs="Times New Roman"/>
          <w:color w:val="000000"/>
          <w:spacing w:val="12"/>
          <w:sz w:val="28"/>
          <w:szCs w:val="20"/>
        </w:rPr>
        <w:t>〔20</w:t>
      </w:r>
      <w:r>
        <w:rPr>
          <w:rFonts w:hint="eastAsia" w:ascii="仿宋_GB2312" w:hAnsi="Times New Roman" w:eastAsia="仿宋_GB2312" w:cs="Times New Roman"/>
          <w:color w:val="000000"/>
          <w:spacing w:val="12"/>
          <w:sz w:val="28"/>
          <w:szCs w:val="20"/>
          <w:lang w:val="en-US" w:eastAsia="zh-CN"/>
        </w:rPr>
        <w:t>2</w:t>
      </w:r>
      <w:r>
        <w:rPr>
          <w:rFonts w:hint="default" w:ascii="仿宋_GB2312" w:hAnsi="Times New Roman" w:eastAsia="仿宋_GB2312" w:cs="Times New Roman"/>
          <w:color w:val="000000"/>
          <w:spacing w:val="12"/>
          <w:sz w:val="28"/>
          <w:szCs w:val="20"/>
          <w:lang w:val="en-US" w:eastAsia="zh-CN"/>
        </w:rPr>
        <w:t>5</w:t>
      </w:r>
      <w:r>
        <w:rPr>
          <w:rFonts w:hint="eastAsia" w:ascii="仿宋_GB2312" w:hAnsi="Times New Roman" w:eastAsia="仿宋_GB2312" w:cs="Times New Roman"/>
          <w:color w:val="000000"/>
          <w:spacing w:val="12"/>
          <w:sz w:val="28"/>
          <w:szCs w:val="20"/>
        </w:rPr>
        <w:t>〕</w:t>
      </w:r>
      <w:r>
        <w:rPr>
          <w:rFonts w:hint="default" w:ascii="仿宋_GB2312" w:eastAsia="仿宋_GB2312" w:cs="Times New Roman"/>
          <w:color w:val="000000"/>
          <w:spacing w:val="12"/>
          <w:sz w:val="28"/>
          <w:szCs w:val="20"/>
          <w:lang w:val="en-US"/>
        </w:rPr>
        <w:t>116</w:t>
      </w:r>
      <w:r>
        <w:rPr>
          <w:rFonts w:hint="eastAsia" w:ascii="仿宋_GB2312" w:hAnsi="Times New Roman" w:eastAsia="仿宋_GB2312" w:cs="Times New Roman"/>
          <w:color w:val="000000"/>
          <w:spacing w:val="12"/>
          <w:sz w:val="28"/>
          <w:szCs w:val="20"/>
        </w:rPr>
        <w:t>号</w:t>
      </w:r>
    </w:p>
    <w:p>
      <w:pPr>
        <w:snapToGrid w:val="0"/>
        <w:jc w:val="center"/>
        <w:rPr>
          <w:rFonts w:hint="eastAsia" w:ascii="仿宋_GB2312" w:hAnsi="仿宋_GB2312" w:eastAsia="仿宋_GB2312"/>
          <w:sz w:val="28"/>
          <w:szCs w:val="28"/>
        </w:rPr>
      </w:pPr>
      <w: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128905</wp:posOffset>
                </wp:positionV>
                <wp:extent cx="555180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1805" cy="635"/>
                        </a:xfrm>
                        <a:prstGeom prst="line">
                          <a:avLst/>
                        </a:prstGeom>
                        <a:ln w="12700"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6.35pt;margin-top:10.15pt;height:0.05pt;width:437.15pt;z-index:251659264;mso-width-relative:page;mso-height-relative:page;" filled="f" stroked="t" coordsize="21600,21600" o:gfxdata="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DML7WS1gAAAAgBAAAPAAAAAAAAAAEAIAAAADgAAABkcnMvZG93bnJldi54bWxQ&#10;SwECFAAUAAAACACHTuJAIhmvX+MBAACqAwAADgAAAAAAAAABACAAAAA7AQAAZHJzL2Uyb0RvYy54&#10;bWxQSwUGAAAAAAYABgBZAQAAkAUAAAAA&#10;">
                <v:fill on="f" focussize="0,0"/>
                <v:stroke weight="1pt" color="#FF0000" joinstyle="round"/>
                <v:imagedata o:title=""/>
                <o:lock v:ext="edit" aspectratio="f"/>
              </v:line>
            </w:pict>
          </mc:Fallback>
        </mc:AlternateContent>
      </w:r>
    </w:p>
    <w:p>
      <w:pPr>
        <w:jc w:val="center"/>
        <w:rPr>
          <w:rFonts w:hint="eastAsia"/>
          <w:sz w:val="28"/>
          <w:szCs w:val="28"/>
        </w:rPr>
      </w:pPr>
    </w:p>
    <w:p>
      <w:pPr>
        <w:snapToGrid w:val="0"/>
        <w:spacing w:beforeLines="0" w:afterLines="0" w:line="240" w:lineRule="auto"/>
        <w:jc w:val="center"/>
        <w:rPr>
          <w:rFonts w:hint="eastAsia" w:ascii="方正小标宋简体" w:hAnsi="方正小标宋简体" w:eastAsia="方正小标宋简体" w:cs="方正小标宋简体"/>
          <w:sz w:val="44"/>
          <w:szCs w:val="44"/>
        </w:rPr>
      </w:pPr>
      <w:bookmarkStart w:id="0" w:name="quanwen"/>
      <w:r>
        <w:rPr>
          <w:rFonts w:hint="eastAsia" w:ascii="方正小标宋简体" w:hAnsi="方正小标宋简体" w:eastAsia="方正小标宋简体" w:cs="方正小标宋简体"/>
          <w:sz w:val="44"/>
          <w:szCs w:val="44"/>
        </w:rPr>
        <w:t>关于对广东启恒土地房地产资产评估规划咨询有限公司采取出具警示函措施的决定</w:t>
      </w:r>
    </w:p>
    <w:p>
      <w:pPr>
        <w:adjustRightInd w:val="0"/>
        <w:snapToGrid w:val="0"/>
        <w:spacing w:beforeLines="0" w:afterLines="0" w:line="240" w:lineRule="auto"/>
        <w:rPr>
          <w:rFonts w:hint="eastAsia" w:ascii="方正小标宋简体" w:hAnsi="方正小标宋简体" w:eastAsia="方正小标宋简体" w:cs="方正小标宋简体"/>
          <w:sz w:val="32"/>
          <w:szCs w:val="32"/>
        </w:rPr>
      </w:pPr>
    </w:p>
    <w:p>
      <w:pPr>
        <w:overflowPunct w:val="0"/>
        <w:adjustRightInd w:val="0"/>
        <w:snapToGrid w:val="0"/>
        <w:spacing w:beforeLines="0" w:afterLines="0" w:line="336"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广东启恒土地房地产资产评估规划咨询有限公司</w:t>
      </w:r>
      <w:r>
        <w:rPr>
          <w:rFonts w:hint="eastAsia" w:ascii="仿宋_GB2312" w:hAnsi="仿宋_GB2312" w:eastAsia="仿宋_GB2312" w:cs="仿宋_GB2312"/>
          <w:sz w:val="32"/>
          <w:szCs w:val="32"/>
          <w:lang w:eastAsia="zh-CN"/>
        </w:rPr>
        <w:t>：</w:t>
      </w:r>
    </w:p>
    <w:p>
      <w:pPr>
        <w:overflowPunct w:val="0"/>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经查，你公司从事证券服务业务，未按规定向中国证券监督管理委员会备案。</w:t>
      </w:r>
    </w:p>
    <w:p>
      <w:pPr>
        <w:overflowPunct w:val="0"/>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上述</w:t>
      </w:r>
      <w:r>
        <w:rPr>
          <w:rFonts w:hint="eastAsia" w:ascii="仿宋_GB2312" w:hAnsi="仿宋_GB2312" w:eastAsia="仿宋_GB2312" w:cs="仿宋_GB2312"/>
          <w:sz w:val="32"/>
          <w:szCs w:val="32"/>
        </w:rPr>
        <w:t>行为</w:t>
      </w:r>
      <w:r>
        <w:rPr>
          <w:rFonts w:hint="eastAsia" w:ascii="仿宋_GB2312" w:hAnsi="仿宋_GB2312" w:eastAsia="仿宋_GB2312" w:cs="仿宋_GB2312"/>
          <w:sz w:val="32"/>
          <w:szCs w:val="32"/>
          <w:lang w:eastAsia="zh-CN"/>
        </w:rPr>
        <w:t>不符合《资产评估机构从事证券服务业务备案办法》（财资〔</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172号</w:t>
      </w:r>
      <w:r>
        <w:rPr>
          <w:rFonts w:hint="eastAsia" w:ascii="仿宋_GB2312" w:hAnsi="仿宋_GB2312" w:eastAsia="仿宋_GB2312" w:cs="仿宋_GB2312"/>
          <w:sz w:val="32"/>
          <w:szCs w:val="32"/>
          <w:lang w:eastAsia="zh-CN"/>
        </w:rPr>
        <w:t>）的要求，违反了《证券法》第一百六十条第二款</w:t>
      </w:r>
      <w:r>
        <w:rPr>
          <w:rFonts w:hint="eastAsia" w:ascii="仿宋_GB2312" w:hAnsi="仿宋_GB2312" w:eastAsia="仿宋_GB2312" w:cs="仿宋_GB2312"/>
          <w:b w:val="0"/>
          <w:bCs w:val="0"/>
          <w:sz w:val="32"/>
          <w:szCs w:val="32"/>
          <w:lang w:val="en-US" w:eastAsia="zh-CN"/>
        </w:rPr>
        <w:t>的规定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依据</w:t>
      </w:r>
      <w:r>
        <w:rPr>
          <w:rFonts w:hint="eastAsia" w:ascii="仿宋_GB2312" w:eastAsia="仿宋_GB2312"/>
          <w:sz w:val="32"/>
          <w:szCs w:val="32"/>
          <w:lang w:val="en-US" w:eastAsia="zh-CN"/>
        </w:rPr>
        <w:t>《</w:t>
      </w:r>
      <w:r>
        <w:rPr>
          <w:rFonts w:hint="eastAsia" w:ascii="仿宋_GB2312" w:hAnsi="仿宋_GB2312" w:eastAsia="仿宋_GB2312" w:cs="仿宋_GB2312"/>
          <w:sz w:val="32"/>
          <w:szCs w:val="32"/>
          <w:lang w:eastAsia="zh-CN"/>
        </w:rPr>
        <w:t>证券法</w:t>
      </w:r>
      <w:r>
        <w:rPr>
          <w:rFonts w:hint="eastAsia" w:ascii="仿宋_GB2312" w:eastAsia="仿宋_GB2312"/>
          <w:sz w:val="32"/>
          <w:szCs w:val="32"/>
          <w:lang w:val="en-US" w:eastAsia="zh-CN"/>
        </w:rPr>
        <w:t>》</w:t>
      </w:r>
      <w:r>
        <w:rPr>
          <w:rFonts w:hint="eastAsia" w:ascii="仿宋_GB2312" w:hAnsi="仿宋_GB2312" w:eastAsia="仿宋_GB2312" w:cs="仿宋_GB2312"/>
          <w:sz w:val="32"/>
          <w:szCs w:val="32"/>
          <w:lang w:eastAsia="zh-CN"/>
        </w:rPr>
        <w:t>第一百七十条第二款的</w:t>
      </w:r>
      <w:r>
        <w:rPr>
          <w:rFonts w:hint="eastAsia" w:ascii="仿宋_GB2312" w:hAnsi="仿宋_GB2312" w:eastAsia="仿宋_GB2312" w:cs="仿宋_GB2312"/>
          <w:sz w:val="32"/>
          <w:szCs w:val="32"/>
        </w:rPr>
        <w:t>规定，我局决定对你公司采取出具警示函的监督管理措施。你公司应充分吸取教训，加强相关法律法规学习，提高规范运作意识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highlight w:val="none"/>
          <w:lang w:val="en-US" w:eastAsia="zh-CN"/>
        </w:rPr>
        <w:t>杜绝此类问题再次发生</w:t>
      </w:r>
      <w:r>
        <w:rPr>
          <w:rFonts w:hint="eastAsia" w:ascii="仿宋_GB2312" w:hAnsi="仿宋" w:eastAsia="仿宋_GB2312"/>
          <w:color w:val="000000"/>
          <w:spacing w:val="0"/>
          <w:sz w:val="32"/>
          <w:szCs w:val="30"/>
          <w:highlight w:val="none"/>
          <w:lang w:val="en-US" w:eastAsia="zh-CN"/>
        </w:rPr>
        <w:t>。</w:t>
      </w:r>
    </w:p>
    <w:p>
      <w:pPr>
        <w:overflowPunct w:val="0"/>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对本监督管理措施不服，可以在收到本决定书之日起60日内向中国证券监督管理委员会提出行政复议申请，也可以在收到本决定书之日起6个月内向有管辖权的人民法院提起诉讼。复议与诉讼期间，上述监督管理措施不停止执行。</w:t>
      </w:r>
    </w:p>
    <w:p>
      <w:pPr>
        <w:pStyle w:val="8"/>
        <w:widowControl w:val="0"/>
        <w:overflowPunct w:val="0"/>
        <w:snapToGrid w:val="0"/>
        <w:spacing w:line="360" w:lineRule="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cs="宋体"/>
          <w:color w:val="000000"/>
          <w:sz w:val="28"/>
          <w:szCs w:val="28"/>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cs="宋体"/>
          <w:color w:val="000000"/>
          <w:sz w:val="28"/>
          <w:szCs w:val="28"/>
        </w:rPr>
      </w:pPr>
    </w:p>
    <w:p>
      <w:pPr>
        <w:overflowPunct w:val="0"/>
        <w:adjustRightInd w:val="0"/>
        <w:snapToGrid w:val="0"/>
        <w:spacing w:line="360" w:lineRule="auto"/>
        <w:ind w:right="1705"/>
        <w:jc w:val="right"/>
        <w:rPr>
          <w:rFonts w:hint="eastAsia" w:ascii="仿宋_GB2312" w:hAnsi="Times New Roman" w:eastAsia="仿宋_GB2312" w:cs="Times New Roman"/>
          <w:color w:val="000000"/>
          <w:sz w:val="32"/>
        </w:rPr>
      </w:pPr>
      <w:r>
        <w:rPr>
          <w:rFonts w:hint="eastAsia" w:ascii="仿宋_GB2312" w:hAnsi="Times New Roman" w:eastAsia="仿宋_GB2312" w:cs="Times New Roman"/>
          <w:color w:val="000000"/>
          <w:sz w:val="32"/>
        </w:rPr>
        <w:t>广东证监局</w:t>
      </w:r>
    </w:p>
    <w:p>
      <w:pPr>
        <w:numPr>
          <w:ilvl w:val="0"/>
          <w:numId w:val="0"/>
        </w:numPr>
        <w:pBdr>
          <w:top w:val="none" w:color="auto" w:sz="0" w:space="0"/>
          <w:bottom w:val="none" w:color="auto" w:sz="0" w:space="0"/>
        </w:pBdr>
        <w:overflowPunct w:val="0"/>
        <w:adjustRightInd w:val="0"/>
        <w:snapToGrid w:val="0"/>
        <w:spacing w:beforeLines="0" w:afterLines="0" w:line="360" w:lineRule="auto"/>
        <w:jc w:val="center"/>
        <w:outlineLvl w:val="9"/>
      </w:pPr>
      <w:r>
        <w:rPr>
          <w:rFonts w:hint="eastAsia" w:ascii="仿宋_GB2312" w:hAnsi="Times New Roman" w:eastAsia="仿宋_GB2312" w:cs="Times New Roman"/>
          <w:color w:val="000000"/>
          <w:spacing w:val="10"/>
          <w:sz w:val="28"/>
          <w:szCs w:val="28"/>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default"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eastAsia="zh-CN"/>
        </w:rPr>
        <w:t>2</w:t>
      </w:r>
      <w:r>
        <w:rPr>
          <w:rFonts w:hint="eastAsia" w:ascii="仿宋_GB2312" w:hAnsi="Times New Roman" w:eastAsia="仿宋_GB2312" w:cs="Times New Roman"/>
          <w:color w:val="000000"/>
          <w:spacing w:val="10"/>
          <w:sz w:val="32"/>
          <w:szCs w:val="32"/>
          <w:lang w:val="en-US" w:eastAsia="zh-CN"/>
        </w:rPr>
        <w:t>02</w:t>
      </w:r>
      <w:r>
        <w:rPr>
          <w:rFonts w:hint="default" w:ascii="仿宋_GB2312" w:hAnsi="Times New Roman" w:eastAsia="仿宋_GB2312" w:cs="Times New Roman"/>
          <w:color w:val="000000"/>
          <w:spacing w:val="10"/>
          <w:sz w:val="32"/>
          <w:szCs w:val="32"/>
          <w:lang w:val="en-US" w:eastAsia="zh-CN"/>
        </w:rPr>
        <w:t>5</w:t>
      </w:r>
      <w:r>
        <w:rPr>
          <w:rFonts w:hint="eastAsia" w:ascii="仿宋_GB2312" w:hAnsi="Times New Roman" w:eastAsia="仿宋_GB2312" w:cs="Times New Roman"/>
          <w:color w:val="000000"/>
          <w:spacing w:val="10"/>
          <w:sz w:val="32"/>
          <w:szCs w:val="32"/>
        </w:rPr>
        <w:t>年</w:t>
      </w:r>
      <w:r>
        <w:rPr>
          <w:rFonts w:hint="default" w:ascii="仿宋_GB2312" w:eastAsia="仿宋_GB2312" w:cs="Times New Roman"/>
          <w:color w:val="000000"/>
          <w:spacing w:val="10"/>
          <w:sz w:val="32"/>
          <w:szCs w:val="32"/>
          <w:lang w:val="en-US" w:eastAsia="zh-CN"/>
        </w:rPr>
        <w:t>10</w:t>
      </w:r>
      <w:r>
        <w:rPr>
          <w:rFonts w:hint="eastAsia" w:ascii="仿宋_GB2312" w:hAnsi="Times New Roman" w:eastAsia="仿宋_GB2312" w:cs="Times New Roman"/>
          <w:color w:val="000000"/>
          <w:spacing w:val="10"/>
          <w:sz w:val="32"/>
          <w:szCs w:val="32"/>
        </w:rPr>
        <w:t>月</w:t>
      </w:r>
      <w:r>
        <w:rPr>
          <w:rFonts w:hint="default" w:ascii="仿宋_GB2312" w:hAnsi="Times New Roman" w:eastAsia="仿宋_GB2312" w:cs="Times New Roman"/>
          <w:color w:val="000000"/>
          <w:spacing w:val="10"/>
          <w:sz w:val="32"/>
          <w:szCs w:val="32"/>
          <w:lang w:val="en-US"/>
        </w:rPr>
        <w:t>24</w:t>
      </w:r>
      <w:r>
        <w:rPr>
          <w:rFonts w:hint="eastAsia" w:ascii="仿宋_GB2312" w:hAnsi="Times New Roman" w:eastAsia="仿宋_GB2312" w:cs="Times New Roman"/>
          <w:color w:val="000000"/>
          <w:spacing w:val="10"/>
          <w:sz w:val="32"/>
          <w:szCs w:val="32"/>
        </w:rPr>
        <w:t>日</w:t>
      </w:r>
    </w:p>
    <w:p>
      <w:pPr>
        <w:snapToGrid w:val="0"/>
        <w:spacing w:line="360" w:lineRule="auto"/>
        <w:ind w:right="28"/>
        <w:jc w:val="left"/>
        <w:rPr>
          <w:rFonts w:hint="eastAsia" w:ascii="黑体" w:eastAsia="黑体" w:cs="Times New Roman"/>
          <w:spacing w:val="8"/>
          <w:sz w:val="32"/>
          <w:szCs w:val="32"/>
        </w:rPr>
      </w:pPr>
    </w:p>
    <w:p>
      <w:pPr>
        <w:snapToGrid w:val="0"/>
        <w:spacing w:line="360" w:lineRule="auto"/>
        <w:ind w:right="28"/>
        <w:jc w:val="left"/>
        <w:rPr>
          <w:rFonts w:hint="eastAsia" w:ascii="黑体" w:eastAsia="黑体" w:cs="Times New Roman"/>
          <w:spacing w:val="8"/>
          <w:sz w:val="32"/>
          <w:szCs w:val="32"/>
        </w:rPr>
      </w:pPr>
    </w:p>
    <w:p>
      <w:pPr>
        <w:snapToGrid w:val="0"/>
        <w:spacing w:line="360" w:lineRule="auto"/>
        <w:ind w:right="28"/>
        <w:jc w:val="left"/>
        <w:rPr>
          <w:rFonts w:hint="eastAsia" w:ascii="黑体" w:eastAsia="黑体" w:cs="Times New Roman"/>
          <w:spacing w:val="8"/>
          <w:sz w:val="32"/>
          <w:szCs w:val="32"/>
        </w:rPr>
      </w:pPr>
    </w:p>
    <w:p>
      <w:pPr>
        <w:snapToGrid w:val="0"/>
        <w:spacing w:line="360" w:lineRule="auto"/>
        <w:ind w:right="28"/>
        <w:jc w:val="left"/>
        <w:rPr>
          <w:rFonts w:hint="eastAsia" w:ascii="黑体" w:eastAsia="黑体" w:cs="Times New Roman"/>
          <w:spacing w:val="8"/>
          <w:sz w:val="32"/>
          <w:szCs w:val="32"/>
        </w:rPr>
      </w:pPr>
    </w:p>
    <w:p>
      <w:pPr>
        <w:snapToGrid w:val="0"/>
        <w:spacing w:line="360" w:lineRule="auto"/>
        <w:ind w:right="28"/>
        <w:jc w:val="left"/>
        <w:rPr>
          <w:rFonts w:hint="eastAsia" w:ascii="黑体" w:eastAsia="黑体" w:cs="Times New Roman"/>
          <w:spacing w:val="8"/>
          <w:sz w:val="32"/>
          <w:szCs w:val="32"/>
        </w:rPr>
      </w:pPr>
    </w:p>
    <w:p>
      <w:pPr>
        <w:snapToGrid w:val="0"/>
        <w:spacing w:line="360" w:lineRule="auto"/>
        <w:ind w:right="28"/>
        <w:jc w:val="left"/>
        <w:rPr>
          <w:rFonts w:hint="eastAsia" w:ascii="黑体" w:eastAsia="黑体" w:cs="Times New Roman"/>
          <w:spacing w:val="8"/>
          <w:sz w:val="32"/>
          <w:szCs w:val="32"/>
        </w:rPr>
      </w:pPr>
    </w:p>
    <w:p>
      <w:pPr>
        <w:snapToGrid w:val="0"/>
        <w:spacing w:line="360" w:lineRule="auto"/>
        <w:ind w:right="28"/>
        <w:jc w:val="left"/>
        <w:rPr>
          <w:rFonts w:hint="eastAsia" w:ascii="黑体" w:eastAsia="黑体" w:cs="Times New Roman"/>
          <w:spacing w:val="8"/>
          <w:sz w:val="32"/>
          <w:szCs w:val="32"/>
        </w:rPr>
      </w:pPr>
    </w:p>
    <w:p>
      <w:pPr>
        <w:snapToGrid w:val="0"/>
        <w:spacing w:line="360" w:lineRule="auto"/>
        <w:ind w:right="28"/>
        <w:jc w:val="left"/>
        <w:rPr>
          <w:rFonts w:hint="eastAsia" w:ascii="黑体" w:eastAsia="黑体" w:cs="Times New Roman"/>
          <w:spacing w:val="8"/>
          <w:sz w:val="32"/>
          <w:szCs w:val="32"/>
        </w:rPr>
      </w:pPr>
    </w:p>
    <w:p>
      <w:pPr>
        <w:snapToGrid w:val="0"/>
        <w:spacing w:line="360" w:lineRule="auto"/>
        <w:ind w:right="28"/>
        <w:jc w:val="left"/>
        <w:rPr>
          <w:rFonts w:hint="eastAsia" w:ascii="黑体" w:eastAsia="黑体" w:cs="Times New Roman"/>
          <w:spacing w:val="8"/>
          <w:sz w:val="32"/>
          <w:szCs w:val="32"/>
        </w:rPr>
      </w:pPr>
      <w:bookmarkStart w:id="1" w:name="_GoBack"/>
      <w:bookmarkEnd w:id="1"/>
    </w:p>
    <w:bookmarkEnd w:id="0"/>
    <w:p>
      <w:pPr>
        <w:snapToGrid w:val="0"/>
        <w:spacing w:beforeLines="0" w:afterLines="0"/>
        <w:rPr>
          <w:sz w:val="2"/>
          <w:szCs w:val="2"/>
        </w:rPr>
      </w:pPr>
    </w:p>
    <w:sectPr>
      <w:headerReference r:id="rId3" w:type="default"/>
      <w:footerReference r:id="rId4" w:type="default"/>
      <w:pgSz w:w="11906" w:h="16838"/>
      <w:pgMar w:top="2097" w:right="1474" w:bottom="1984" w:left="1587" w:header="851"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宋体"/>
    <w:panose1 w:val="02010609000101010101"/>
    <w:charset w:val="00"/>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NotDisplayPageBoundaries w:val="true"/>
  <w:embedSystemFonts/>
  <w:bordersDoNotSurroundHeader w:val="true"/>
  <w:bordersDoNotSurroundFooter w:val="true"/>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F90B9"/>
    <w:rsid w:val="3CFD95AA"/>
    <w:rsid w:val="3F577543"/>
    <w:rsid w:val="3FAF66AC"/>
    <w:rsid w:val="4CFE786D"/>
    <w:rsid w:val="7D7F90B9"/>
    <w:rsid w:val="7FADBE40"/>
    <w:rsid w:val="7FBF1957"/>
    <w:rsid w:val="E9331CA7"/>
    <w:rsid w:val="FAF12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ind w:firstLine="420"/>
      <w:textAlignment w:val="baseline"/>
    </w:pPr>
    <w:rPr>
      <w:rFonts w:ascii="宋体" w:hAnsi="Calibri"/>
      <w:kern w:val="0"/>
      <w:szCs w:val="24"/>
    </w:rPr>
  </w:style>
  <w:style w:type="paragraph" w:styleId="3">
    <w:name w:val="footer"/>
    <w:basedOn w:val="1"/>
    <w:unhideWhenUsed/>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p0"/>
    <w:basedOn w:val="1"/>
    <w:qFormat/>
    <w:uiPriority w:val="0"/>
    <w:pPr>
      <w:widowControl/>
    </w:pPr>
    <w:rPr>
      <w:rFonts w:hint="eastAsia"/>
    </w:rPr>
  </w:style>
  <w:style w:type="paragraph" w:customStyle="1" w:styleId="9">
    <w:name w:val="Char Char Char Char Char Char Char Char 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2025-10-17T19:02:00Z</dcterms:created>
  <dc:creator>吕丽妮</dc:creator>
  <cp:lastModifiedBy>吕丽妮</cp:lastModifiedBy>
  <dcterms:modified xsi:type="dcterms:W3CDTF">2025-10-27T10:56:34Z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E5AC2E832DB54E020CF6F1680B7F35A7</vt:lpwstr>
  </property>
</Properties>
</file>