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114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Pjv5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kern w:val="0"/>
          <w:sz w:val="44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/>
          <w:kern w:val="0"/>
          <w:sz w:val="44"/>
        </w:rPr>
        <w:t>关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于</w:t>
      </w:r>
      <w:r>
        <w:rPr>
          <w:rFonts w:hint="eastAsia" w:ascii="方正小标宋简体" w:hAnsi="方正小标宋简体" w:eastAsia="方正小标宋简体"/>
          <w:kern w:val="0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广州山水比德设计股份</w:t>
      </w:r>
      <w:r>
        <w:rPr>
          <w:rFonts w:hint="eastAsia" w:ascii="方正小标宋简体" w:hAnsi="方正小标宋简体" w:eastAsia="方正小标宋简体"/>
          <w:kern w:val="0"/>
          <w:sz w:val="44"/>
          <w:lang w:val="en-US" w:eastAsia="zh-CN"/>
        </w:rPr>
        <w:t>有限公司、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蔡彬、秦鹏、孙虎、周乔</w:t>
      </w:r>
      <w:r>
        <w:rPr>
          <w:rFonts w:hint="eastAsia" w:ascii="方正小标宋简体" w:hAnsi="方正小标宋简体" w:eastAsia="方正小标宋简体"/>
          <w:kern w:val="0"/>
          <w:sz w:val="44"/>
        </w:rPr>
        <w:t>采取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出具</w:t>
      </w:r>
      <w:r>
        <w:rPr>
          <w:rFonts w:hint="eastAsia" w:ascii="方正小标宋简体" w:hAnsi="方正小标宋简体" w:eastAsia="方正小标宋简体"/>
          <w:kern w:val="0"/>
          <w:sz w:val="44"/>
        </w:rPr>
        <w:t>警示函措施的决定</w:t>
      </w:r>
    </w:p>
    <w:p>
      <w:pPr>
        <w:adjustRightInd w:val="0"/>
        <w:snapToGrid w:val="0"/>
        <w:spacing w:afterLines="0" w:line="240" w:lineRule="auto"/>
        <w:rPr>
          <w:rFonts w:hint="default" w:ascii="仿宋_GB2312" w:hAnsi="??" w:eastAsia="仿宋_GB2312"/>
          <w:spacing w:val="8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48" w:lineRule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广州山水比德设计股份有限公司、蔡彬、秦鹏、孙虎、周乔：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经查，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广州山水比德设计股份有限公司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highlight w:val="none"/>
          <w:lang w:val="en-US" w:eastAsia="zh-CN"/>
        </w:rPr>
        <w:t>以下简称山水比德</w:t>
      </w:r>
      <w:r>
        <w:rPr>
          <w:rFonts w:hint="eastAsia" w:ascii="仿宋_GB2312" w:hAnsi="Times New Roman" w:eastAsia="仿宋_GB2312" w:cs="黑体"/>
          <w:spacing w:val="-6"/>
          <w:kern w:val="2"/>
          <w:sz w:val="32"/>
          <w:szCs w:val="32"/>
          <w:highlight w:val="none"/>
          <w:lang w:val="en-US" w:eastAsia="zh-CN" w:bidi="ar-SA"/>
        </w:rPr>
        <w:t>或公司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存在以下违规问题：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2021年</w:t>
      </w:r>
      <w:r>
        <w:rPr>
          <w:rFonts w:hint="default" w:ascii="仿宋_GB2312" w:hAnsi="仿宋_GB2312" w:eastAsia="仿宋_GB2312" w:cs="Times New Roman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月至2023年8月，公司使用闲置募集资金进行现金管理，披露循环使用不超过现金管理限额的募集资金购买理财产品共22笔，其中3笔为保本型，19笔为非保本型。公司现金管理</w:t>
      </w:r>
      <w:r>
        <w:rPr>
          <w:rFonts w:hint="default" w:ascii="仿宋_GB2312" w:hAnsi="仿宋_GB2312" w:eastAsia="仿宋_GB2312" w:cs="Times New Roman"/>
          <w:kern w:val="0"/>
          <w:sz w:val="32"/>
          <w:szCs w:val="20"/>
          <w:lang w:val="en-US" w:eastAsia="zh-CN"/>
        </w:rPr>
        <w:t>虽未造成募集资金本金损失，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但公司披露使用闲置募集资金进行现金管理时，产品类型披露不准确，在现金管理的投资风险分析中未充分、完整地提示购买非保本产品可能受到的本金损失风险，未充分披露使用募集资金进行现金管理的本金安全性问题。公司上述</w:t>
      </w:r>
      <w:bookmarkStart w:id="1" w:name="_GoBack"/>
      <w:bookmarkEnd w:id="1"/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行为不符合《上市公司监管指引第2号——上市公司募集资金管理和使用的监管要求》（证监会公告〔2012〕44号）第七条第二款第四项和《上市公司监管指引第2号——上市公司募集资金管理和使用的监管要求（2022年修订）》（证监会公告〔2022〕15号）第八条第二款第四项的规定，违反了《上市公司信息披露管理办法》（证监会令第182号）第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48" w:lineRule="auto"/>
        <w:ind w:firstLine="640"/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highlight w:val="none"/>
          <w:lang w:val="en-US" w:eastAsia="zh-CN"/>
        </w:rPr>
        <w:t>山水比德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董事长兼总经理蔡彬、董事会秘书秦鹏、时任董事长兼总经理孙虎、时任董事会秘书兼财务总监周乔未能按照</w:t>
      </w:r>
      <w:r>
        <w:rPr>
          <w:rFonts w:hint="eastAsia" w:ascii="仿宋_GB2312" w:hAnsi="仿宋_GB2312" w:eastAsia="仿宋_GB2312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（证监会令第182号）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第四条的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规定履行勤勉尽责义务，对公司上述违规行为负有主要责任。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48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黑体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（证监会令第182号）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五十二条的规定，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对山水比德及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蔡彬、秦鹏、孙虎、周乔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采取出具警示函的行政监管措施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。你们应认真吸取教训，切实加强对证券法律法规的学习，杜绝此类问题再次发生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0"/>
          <w:highlight w:val="none"/>
          <w:lang w:val="en-US" w:eastAsia="zh-CN"/>
        </w:rPr>
        <w:t>。同时公司应对相关责任人员进行内部问责，于收到本决定书30日内向我局报送公司整改报告、内部问责情况报告，并抄报深圳证券交易所。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48" w:lineRule="auto"/>
        <w:ind w:left="0" w:leftChars="0" w:right="0" w:firstLine="640" w:firstLineChars="0"/>
        <w:jc w:val="both"/>
        <w:textAlignment w:val="auto"/>
        <w:outlineLvl w:val="9"/>
        <w:rPr>
          <w:rFonts w:hint="eastAsia" w:eastAsia="仿宋_GB2312"/>
          <w:spacing w:val="1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32"/>
          <w:szCs w:val="32"/>
        </w:rPr>
      </w:pPr>
    </w:p>
    <w:p>
      <w:pPr>
        <w:pStyle w:val="2"/>
        <w:ind w:firstLine="0"/>
        <w:rPr>
          <w:rFonts w:hint="eastAsia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/>
        <w:ind w:firstLine="302" w:firstLineChars="100"/>
        <w:rPr>
          <w:rFonts w:hint="eastAsia" w:ascii="仿宋_GB2312" w:hAnsi="Times New Roman" w:eastAsia="仿宋_GB2312"/>
          <w:spacing w:val="11"/>
          <w:sz w:val="28"/>
          <w:szCs w:val="20"/>
          <w:lang w:val="en-US" w:eastAsia="zh-CN"/>
        </w:rPr>
      </w:pPr>
      <w:r>
        <w:rPr>
          <w:rFonts w:hint="eastAsia" w:ascii="仿宋_GB2312" w:hAnsi="Times New Roman" w:eastAsia="仿宋_GB2312"/>
          <w:spacing w:val="11"/>
          <w:sz w:val="28"/>
          <w:szCs w:val="20"/>
        </w:rPr>
        <w:t>抄送：</w:t>
      </w:r>
      <w:r>
        <w:rPr>
          <w:rFonts w:hint="eastAsia" w:ascii="仿宋_GB2312" w:eastAsia="仿宋_GB2312"/>
          <w:spacing w:val="11"/>
          <w:sz w:val="28"/>
          <w:szCs w:val="20"/>
          <w:lang w:eastAsia="zh-CN"/>
        </w:rPr>
        <w:t>证监</w:t>
      </w:r>
      <w:r>
        <w:rPr>
          <w:rFonts w:hint="eastAsia" w:ascii="仿宋_GB2312" w:hAnsi="Times New Roman" w:eastAsia="仿宋_GB2312"/>
          <w:spacing w:val="11"/>
          <w:sz w:val="28"/>
          <w:szCs w:val="20"/>
        </w:rPr>
        <w:t>会上市</w:t>
      </w:r>
      <w:r>
        <w:rPr>
          <w:rFonts w:hint="eastAsia" w:ascii="仿宋_GB2312" w:hAnsi="Times New Roman" w:eastAsia="仿宋_GB2312"/>
          <w:spacing w:val="11"/>
          <w:sz w:val="28"/>
          <w:szCs w:val="20"/>
          <w:lang w:eastAsia="zh-CN"/>
        </w:rPr>
        <w:t>司</w:t>
      </w:r>
      <w:r>
        <w:rPr>
          <w:rFonts w:hint="eastAsia" w:ascii="仿宋_GB2312" w:hAnsi="Times New Roman" w:eastAsia="仿宋_GB2312"/>
          <w:spacing w:val="11"/>
          <w:sz w:val="28"/>
          <w:szCs w:val="20"/>
        </w:rPr>
        <w:t>、法治司；深圳证券交易所</w:t>
      </w:r>
      <w:r>
        <w:rPr>
          <w:rFonts w:hint="eastAsia" w:ascii="仿宋_GB2312" w:hAnsi="Times New Roman" w:eastAsia="仿宋_GB2312"/>
          <w:spacing w:val="11"/>
          <w:sz w:val="28"/>
          <w:szCs w:val="20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Times New Roman" w:eastAsia="仿宋_GB2312"/>
          <w:spacing w:val="8"/>
          <w:sz w:val="28"/>
          <w:szCs w:val="20"/>
        </w:rPr>
      </w:pPr>
      <w:r>
        <w:rPr>
          <w:rFonts w:hint="eastAsia" w:ascii="仿宋_GB2312" w:hAnsi="Times New Roman" w:eastAsia="仿宋_GB2312"/>
          <w:spacing w:val="8"/>
          <w:sz w:val="28"/>
          <w:szCs w:val="20"/>
        </w:rPr>
        <w:t xml:space="preserve">广东证监局办公室          </w:t>
      </w:r>
      <w:r>
        <w:rPr>
          <w:rFonts w:hint="default" w:ascii="仿宋_GB2312" w:hAnsi="Times New Roman" w:eastAsia="仿宋_GB2312"/>
          <w:spacing w:val="8"/>
          <w:sz w:val="28"/>
          <w:szCs w:val="20"/>
          <w:lang w:val="en"/>
        </w:rPr>
        <w:t xml:space="preserve"> </w:t>
      </w:r>
      <w:r>
        <w:rPr>
          <w:rFonts w:hint="eastAsia" w:ascii="仿宋_GB2312" w:hAnsi="Times New Roman" w:eastAsia="仿宋_GB2312"/>
          <w:spacing w:val="8"/>
          <w:sz w:val="28"/>
          <w:szCs w:val="20"/>
        </w:rPr>
        <w:t xml:space="preserve">   </w:t>
      </w:r>
      <w:r>
        <w:rPr>
          <w:rFonts w:hint="eastAsia" w:ascii="仿宋_GB2312" w:hAnsi="Times New Roman" w:eastAsia="仿宋_GB2312"/>
          <w:spacing w:val="8"/>
          <w:sz w:val="28"/>
          <w:szCs w:val="20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pacing w:val="8"/>
          <w:sz w:val="28"/>
          <w:szCs w:val="20"/>
          <w:lang w:val="en" w:eastAsia="zh-CN"/>
        </w:rPr>
        <w:t xml:space="preserve"> </w:t>
      </w:r>
      <w:r>
        <w:rPr>
          <w:rFonts w:hint="eastAsia" w:ascii="仿宋_GB2312" w:hAnsi="Times New Roman" w:eastAsia="仿宋_GB2312"/>
          <w:spacing w:val="8"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pacing w:val="8"/>
          <w:sz w:val="28"/>
          <w:szCs w:val="20"/>
        </w:rPr>
        <w:t xml:space="preserve"> </w:t>
      </w:r>
      <w:r>
        <w:rPr>
          <w:rFonts w:hint="eastAsia" w:ascii="仿宋_GB2312" w:hAnsi="Times New Roman" w:eastAsia="仿宋_GB2312"/>
          <w:spacing w:val="8"/>
          <w:sz w:val="28"/>
          <w:szCs w:val="20"/>
          <w:lang w:eastAsia="zh-CN"/>
        </w:rPr>
        <w:t>20</w:t>
      </w:r>
      <w:r>
        <w:rPr>
          <w:rFonts w:hint="eastAsia" w:ascii="仿宋_GB2312" w:hAnsi="Times New Roman" w:eastAsia="仿宋_GB2312"/>
          <w:spacing w:val="8"/>
          <w:sz w:val="28"/>
          <w:szCs w:val="20"/>
          <w:lang w:val="en-US" w:eastAsia="zh-CN"/>
        </w:rPr>
        <w:t>25</w:t>
      </w:r>
      <w:r>
        <w:rPr>
          <w:rFonts w:hint="eastAsia" w:ascii="仿宋_GB2312" w:hAnsi="Times New Roman" w:eastAsia="仿宋_GB2312"/>
          <w:spacing w:val="8"/>
          <w:sz w:val="28"/>
          <w:szCs w:val="20"/>
        </w:rPr>
        <w:t>年</w:t>
      </w:r>
      <w:r>
        <w:rPr>
          <w:rFonts w:hint="default" w:ascii="仿宋_GB2312" w:hAnsi="Times New Roman" w:eastAsia="仿宋_GB2312"/>
          <w:spacing w:val="8"/>
          <w:sz w:val="28"/>
          <w:szCs w:val="20"/>
          <w:lang w:eastAsia="zh-CN"/>
        </w:rPr>
        <w:t>10</w:t>
      </w:r>
      <w:r>
        <w:rPr>
          <w:rFonts w:hint="eastAsia" w:ascii="仿宋_GB2312" w:hAnsi="Times New Roman" w:eastAsia="仿宋_GB2312"/>
          <w:spacing w:val="8"/>
          <w:sz w:val="28"/>
          <w:szCs w:val="20"/>
        </w:rPr>
        <w:t>月</w:t>
      </w:r>
      <w:r>
        <w:rPr>
          <w:rFonts w:hint="default" w:ascii="仿宋_GB2312" w:hAnsi="Times New Roman" w:eastAsia="仿宋_GB2312"/>
          <w:spacing w:val="8"/>
          <w:sz w:val="28"/>
          <w:szCs w:val="20"/>
          <w:lang w:val="en-US"/>
        </w:rPr>
        <w:t>20</w:t>
      </w:r>
      <w:r>
        <w:rPr>
          <w:rFonts w:hint="eastAsia" w:ascii="仿宋_GB2312" w:hAnsi="Times New Roman" w:eastAsia="仿宋_GB2312"/>
          <w:spacing w:val="8"/>
          <w:sz w:val="28"/>
          <w:szCs w:val="20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Times New Roman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609000101010101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3CC48"/>
    <w:rsid w:val="3B5F011D"/>
    <w:rsid w:val="3BFFB1B7"/>
    <w:rsid w:val="5AF7866E"/>
    <w:rsid w:val="5FAC4E7E"/>
    <w:rsid w:val="6A7AC66C"/>
    <w:rsid w:val="7B7F40BA"/>
    <w:rsid w:val="7C73CC48"/>
    <w:rsid w:val="7DB905DE"/>
    <w:rsid w:val="7EE7782B"/>
    <w:rsid w:val="E77844D6"/>
    <w:rsid w:val="ECDFA105"/>
    <w:rsid w:val="F5740BC4"/>
    <w:rsid w:val="F736DA26"/>
    <w:rsid w:val="F7BEB524"/>
    <w:rsid w:val="FD3FB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2025-10-15T08:15:00Z</dcterms:created>
  <dc:creator>何嘉晔</dc:creator>
  <cp:lastModifiedBy>何嘉晔</cp:lastModifiedBy>
  <cp:lastPrinted>2025-10-21T09:48:00Z</cp:lastPrinted>
  <dcterms:modified xsi:type="dcterms:W3CDTF">2025-10-22T10:23:02Z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3E6B25CC271EF5610640F868C3AE1FE3</vt:lpwstr>
  </property>
</Properties>
</file>