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szCs w:val="20"/>
          <w:lang w:val="en-US"/>
        </w:rPr>
        <w:t>84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wvtZLWAAAACAEAAA8AAAAAAAAA&#10;AQAgAAAAOAAAAGRycy9kb3ducmV2LnhtbFBLAQIUABQAAAAIAIdO4kAV8uZj/QEAAPUDAAAOAAAA&#10;AAAAAAEAIAAAADsBAABkcnMvZTJvRG9jLnhtbF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  <w:t>渤海证券股份有限公司广东分公司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eastAsia="zh-CN"/>
        </w:rPr>
        <w:t>采取责令改正措施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的决定</w:t>
      </w:r>
    </w:p>
    <w:p>
      <w:pPr>
        <w:adjustRightInd w:val="0"/>
        <w:snapToGrid w:val="0"/>
        <w:spacing w:line="240" w:lineRule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渤海证券股份有限公司广东分公司：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经查，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你分公司存在以下问题：一是在知悉下辖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证券营业部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发生了可能影响经营管理和客户权益的重大事件后，未及时向我局报告，违反了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《证券公司分支机构监管规定》（证监会公告〔2020〕66号）第十五条的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0"/>
          <w:highlight w:val="none"/>
          <w:lang w:eastAsia="zh-CN"/>
        </w:rPr>
        <w:t>二是下辖证券营业部负责人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违规操作客户证券账户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违反了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《证券经纪人管理暂行规定》（证监会公告〔2020〕20号）第十二条第一项、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第二十六条第一款的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上述情形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反映你分公司合规管理不到位，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不符合《证券公司和证券投资基金管理公司合规管理办法》（证监会令第166号）第三条、第六条第四项的规定。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Lines="0" w:afterLines="0" w:line="336" w:lineRule="auto"/>
        <w:ind w:firstLine="640"/>
        <w:jc w:val="both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根据《证券公司和证券投资基金管理公司合规管理办法》第三十二条第一款、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《证券公司分支机构监管规定》第十七条的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规定，我局决定对你分公司采取责令改正的行政监管措施。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Lines="0" w:afterLines="0" w:line="336" w:lineRule="auto"/>
        <w:ind w:firstLine="640"/>
        <w:jc w:val="both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你分公司应当高度重视上述问题，采取有效措施切实整改，加强内控管理，切实提高合规管理水平，并自收到本决定书之日起30日内将整改方案报送我局，我局将视情况对你分公司整改落实情况进行检查。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Lines="0" w:afterLines="0" w:line="336" w:lineRule="auto"/>
        <w:ind w:firstLine="640"/>
        <w:jc w:val="both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如果对本行政监管措施不服，可以在收到本决定书之日起60日内向中国证券监督管理委员会提出行政复议申请，也可以在收到本决定书之日起6个月内向有管辖权的人民法院提起诉讼。复议与诉讼期间，上述行政监管措施不停止执行。</w:t>
      </w:r>
    </w:p>
    <w:p>
      <w:pPr>
        <w:widowControl w:val="0"/>
        <w:overflowPunct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20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ascii="Times New Roman" w:hAnsi="Times New Roman" w:eastAsia="宋体" w:cs="Times New Roman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240" w:lineRule="auto"/>
        <w:ind w:right="28"/>
        <w:jc w:val="left"/>
        <w:rPr>
          <w:rFonts w:hint="eastAsia" w:ascii="黑体" w:eastAsia="黑体"/>
          <w:spacing w:val="8"/>
          <w:sz w:val="36"/>
          <w:szCs w:val="36"/>
        </w:rPr>
      </w:pPr>
    </w:p>
    <w:p>
      <w:pPr>
        <w:pBdr>
          <w:top w:val="single" w:color="auto" w:sz="8" w:space="6"/>
        </w:pBdr>
        <w:adjustRightInd w:val="0"/>
        <w:snapToGrid w:val="0"/>
        <w:spacing w:after="109" w:afterLines="35" w:line="240" w:lineRule="auto"/>
        <w:ind w:firstLine="302" w:firstLineChars="100"/>
        <w:rPr>
          <w:rFonts w:hint="eastAsia" w:ascii="仿宋_GB2312" w:eastAsia="仿宋_GB2312"/>
          <w:spacing w:val="11"/>
          <w:sz w:val="28"/>
        </w:rPr>
      </w:pPr>
      <w:r>
        <w:rPr>
          <w:rFonts w:hint="eastAsia" w:ascii="仿宋_GB2312" w:eastAsia="仿宋_GB2312"/>
          <w:spacing w:val="11"/>
          <w:sz w:val="28"/>
        </w:rPr>
        <w:t>抄送：证监会机构司、法治司；天津证监局；中国证券业协会；</w:t>
      </w:r>
    </w:p>
    <w:p>
      <w:pPr>
        <w:pBdr>
          <w:top w:val="single" w:color="auto" w:sz="8" w:space="6"/>
        </w:pBdr>
        <w:adjustRightInd w:val="0"/>
        <w:snapToGrid w:val="0"/>
        <w:spacing w:after="109" w:afterLines="35" w:line="240" w:lineRule="auto"/>
        <w:ind w:firstLine="1208" w:firstLineChars="400"/>
        <w:rPr>
          <w:rFonts w:ascii="长城仿宋" w:eastAsia="长城仿宋"/>
          <w:spacing w:val="11"/>
          <w:sz w:val="28"/>
        </w:rPr>
      </w:pPr>
      <w:r>
        <w:rPr>
          <w:rFonts w:hint="eastAsia" w:ascii="仿宋_GB2312" w:eastAsia="仿宋_GB2312"/>
          <w:spacing w:val="11"/>
          <w:sz w:val="28"/>
        </w:rPr>
        <w:t>渤海证券股份有限公司。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 </w:t>
      </w:r>
      <w:r>
        <w:rPr>
          <w:rFonts w:hint="eastAsia" w:ascii="仿宋_GB2312" w:eastAsia="仿宋_GB2312"/>
          <w:spacing w:val="8"/>
          <w:sz w:val="28"/>
          <w:lang w:eastAsia="zh-CN"/>
        </w:rPr>
        <w:t>20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25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8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8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bidi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default" w:ascii="仿宋_GB2312" w:eastAsia="仿宋_GB2312"/>
          <w:spacing w:val="8"/>
          <w:sz w:val="2"/>
          <w:szCs w:val="2"/>
          <w:lang w:val="en-US" w:eastAsia="zh-CN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宋体"/>
    <w:panose1 w:val="02010609000101010101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A35DB"/>
    <w:rsid w:val="535F6B43"/>
    <w:rsid w:val="56FE8AF1"/>
    <w:rsid w:val="5A9E9396"/>
    <w:rsid w:val="5C2F9A9A"/>
    <w:rsid w:val="5C7EA5E5"/>
    <w:rsid w:val="5FAF7000"/>
    <w:rsid w:val="6F3F0E7B"/>
    <w:rsid w:val="73FBD63F"/>
    <w:rsid w:val="7D7F6046"/>
    <w:rsid w:val="7F2FEF6D"/>
    <w:rsid w:val="ABB9C960"/>
    <w:rsid w:val="AFFB20DA"/>
    <w:rsid w:val="E07DD59C"/>
    <w:rsid w:val="E7FA35DB"/>
    <w:rsid w:val="F07BA760"/>
    <w:rsid w:val="F9FF24D0"/>
    <w:rsid w:val="FB9E8D21"/>
    <w:rsid w:val="FF2BA9AD"/>
    <w:rsid w:val="FFF3F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2025-07-22T15:51:00Z</dcterms:created>
  <dc:creator>梁惠敏</dc:creator>
  <cp:lastModifiedBy>user</cp:lastModifiedBy>
  <cp:lastPrinted>2025-08-05T17:24:00Z</cp:lastPrinted>
  <dcterms:modified xsi:type="dcterms:W3CDTF">2025-08-22T13:55:47Z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87B2A369DE8CEDC68D939E68B2038988</vt:lpwstr>
  </property>
</Properties>
</file>