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83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珠海市海泽证券投资私募基金管理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珠海市海泽证券投资私募基金管理有限公司：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下违规情形：一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是未对部分投资者的风险告知警示过程进行录音录像；二是未按合同约定向投资者进行信息披露；三是未通过获取投资者资产证明等方式了解投资者财务状况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上述行为违反了《私募投资基金监督管理暂行办法》（证监会令第105号，以下简称《私募办法》）第四条第一款、第二十四条以及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《证券期货投资者适当性管理办法》（证监会令第130号，经证监会令第177号修正，以下简称《适当性办法》）第六条第二项的规定。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根据《私募办法》第三十三条、《适当性办法》第三十七条的规定，我局决定对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采取出具警示函的行政监管措施。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widowControl w:val="0"/>
        <w:overflowPunct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0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24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11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4D8C2"/>
    <w:rsid w:val="1DEDF654"/>
    <w:rsid w:val="57FE1F43"/>
    <w:rsid w:val="63BB0CA6"/>
    <w:rsid w:val="685B5C9D"/>
    <w:rsid w:val="7CBB26F9"/>
    <w:rsid w:val="7FFF3C9F"/>
    <w:rsid w:val="F676471A"/>
    <w:rsid w:val="FDF7DAED"/>
    <w:rsid w:val="FFC4D8C2"/>
    <w:rsid w:val="FF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2024-11-15T17:13:00Z</dcterms:created>
  <dc:creator>林小仪：处室相关人员阅办</dc:creator>
  <cp:lastModifiedBy>林小仪</cp:lastModifiedBy>
  <dcterms:modified xsi:type="dcterms:W3CDTF">2025-08-12T14:38:51Z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E40EB2504B66743974A5526735CEE5C4</vt:lpwstr>
  </property>
</Properties>
</file>