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0"/>
          <w:szCs w:val="40"/>
        </w:rPr>
      </w:pPr>
    </w:p>
    <w:p>
      <w:pPr>
        <w:snapToGrid w:val="0"/>
        <w:spacing w:before="156" w:beforeLines="50" w:line="300" w:lineRule="auto"/>
        <w:jc w:val="center"/>
        <w:rPr>
          <w:rFonts w:ascii="黑体" w:hAnsi="Times New Roman" w:eastAsia="黑体" w:cs="Times New Roman"/>
          <w:color w:val="000000"/>
          <w:spacing w:val="12"/>
          <w:sz w:val="32"/>
        </w:rPr>
      </w:pPr>
      <w:bookmarkStart w:id="1" w:name="_GoBack"/>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eastAsia" w:ascii="仿宋_GB2312" w:eastAsia="仿宋_GB2312" w:cs="Times New Roman"/>
          <w:color w:val="000000"/>
          <w:spacing w:val="12"/>
          <w:sz w:val="28"/>
          <w:lang w:val="en-US" w:eastAsia="zh-CN"/>
        </w:rPr>
        <w:t>3</w:t>
      </w:r>
      <w:r>
        <w:rPr>
          <w:rFonts w:hint="default" w:ascii="仿宋_GB2312" w:eastAsia="仿宋_GB2312" w:cs="Times New Roman"/>
          <w:color w:val="000000"/>
          <w:spacing w:val="12"/>
          <w:sz w:val="28"/>
          <w:lang w:val="en-US" w:eastAsia="zh-CN"/>
        </w:rPr>
        <w:t>2</w:t>
      </w:r>
      <w:r>
        <w:rPr>
          <w:rFonts w:hint="eastAsia" w:ascii="仿宋_GB2312" w:hAnsi="Times New Roman" w:eastAsia="仿宋_GB2312" w:cs="Times New Roman"/>
          <w:color w:val="000000"/>
          <w:spacing w:val="12"/>
          <w:sz w:val="28"/>
        </w:rPr>
        <w:t>号</w:t>
      </w:r>
    </w:p>
    <w:bookmarkEnd w:id="1"/>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widowControl w:val="0"/>
        <w:wordWrap/>
        <w:adjustRightInd w:val="0"/>
        <w:snapToGrid w:val="0"/>
        <w:spacing w:beforeLines="0" w:afterLines="0" w:line="240" w:lineRule="auto"/>
        <w:jc w:val="center"/>
        <w:textAlignment w:val="auto"/>
        <w:outlineLvl w:val="9"/>
        <w:rPr>
          <w:rFonts w:hint="eastAsia" w:ascii="方正小标宋简体" w:hAnsi="方正小标宋简体" w:eastAsia="方正小标宋简体" w:cs="方正小标宋简体"/>
          <w:sz w:val="44"/>
          <w:szCs w:val="44"/>
        </w:rPr>
      </w:pPr>
      <w:bookmarkStart w:id="0" w:name="quanwen"/>
      <w:r>
        <w:rPr>
          <w:rFonts w:hint="eastAsia" w:ascii="方正小标宋简体" w:hAnsi="方正小标宋简体" w:eastAsia="方正小标宋简体" w:cs="方正小标宋简体"/>
          <w:sz w:val="44"/>
          <w:szCs w:val="44"/>
        </w:rPr>
        <w:t>关于对</w:t>
      </w:r>
      <w:r>
        <w:rPr>
          <w:rFonts w:hint="eastAsia" w:ascii="方正小标宋简体" w:hAnsi="方正小标宋简体" w:eastAsia="方正小标宋简体" w:cs="方正小标宋简体"/>
          <w:sz w:val="44"/>
          <w:szCs w:val="44"/>
          <w:lang w:eastAsia="zh-CN"/>
        </w:rPr>
        <w:t>王平</w:t>
      </w:r>
      <w:r>
        <w:rPr>
          <w:rFonts w:hint="eastAsia" w:ascii="方正小标宋简体" w:hAnsi="方正小标宋简体" w:eastAsia="方正小标宋简体" w:cs="方正小标宋简体"/>
          <w:sz w:val="44"/>
          <w:szCs w:val="44"/>
        </w:rPr>
        <w:t>采取出具警示函措施</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决定</w:t>
      </w:r>
    </w:p>
    <w:p>
      <w:pPr>
        <w:numPr>
          <w:ilvl w:val="0"/>
          <w:numId w:val="0"/>
        </w:numPr>
        <w:wordWrap/>
        <w:adjustRightInd w:val="0"/>
        <w:snapToGrid w:val="0"/>
        <w:spacing w:beforeLines="0" w:afterLines="0" w:line="240" w:lineRule="auto"/>
        <w:ind w:left="0" w:leftChars="0" w:right="0" w:firstLine="0" w:firstLineChars="0"/>
        <w:textAlignment w:val="auto"/>
        <w:outlineLvl w:val="9"/>
        <w:rPr>
          <w:rFonts w:hint="eastAsia" w:ascii="方正小标宋简体" w:hAnsi="方正小标宋简体" w:eastAsia="方正小标宋简体" w:cs="方正小标宋简体"/>
          <w:color w:val="auto"/>
          <w:spacing w:val="0"/>
          <w:sz w:val="32"/>
          <w:szCs w:val="30"/>
          <w:highlight w:val="none"/>
          <w:lang w:val="en-US" w:eastAsia="zh-CN"/>
        </w:rPr>
      </w:pPr>
    </w:p>
    <w:p>
      <w:pPr>
        <w:numPr>
          <w:ilvl w:val="0"/>
          <w:numId w:val="0"/>
        </w:numPr>
        <w:wordWrap/>
        <w:overflowPunct w:val="0"/>
        <w:adjustRightInd w:val="0"/>
        <w:snapToGrid w:val="0"/>
        <w:spacing w:beforeLines="0" w:afterLines="0" w:line="312" w:lineRule="auto"/>
        <w:ind w:left="0" w:leftChars="0" w:right="0" w:firstLine="0" w:firstLineChars="0"/>
        <w:textAlignment w:val="auto"/>
        <w:outlineLvl w:val="9"/>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王平：</w:t>
      </w:r>
    </w:p>
    <w:p>
      <w:pPr>
        <w:overflowPunct w:val="0"/>
        <w:adjustRightInd w:val="0"/>
        <w:snapToGrid w:val="0"/>
        <w:spacing w:beforeLines="0" w:afterLines="0" w:line="312" w:lineRule="auto"/>
        <w:ind w:firstLine="640" w:firstLineChars="200"/>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查，你作为青木科技股份有限公司（以下简称青木科技或公司）首发上市前股东，在青木科技首发上市相关文件中承诺“若本人在股份锁定期满后两年内减持的，将提前三个交易日予以公告”。东台宜谦企业管理合伙企业（有限合伙，以下简称东台宜谦）为青木科技员工持股平台，你作为东台宜谦执行事务合伙人，委托公司监事郑世拓减持东台宜谦持有的青木科技股票。2025年1月2日，郑世拓通过深圳证券交易所集中竞价交易方式减持东台宜谦持有的青木科技股票151,700股。其中148,855股为公司监事周荣海、郑世拓间接持有；2,845股为你间接持有，占公司总股本的0.003%。针对该2,845股，你未提前3个交易日公告减持计划，违反了《中华人民共和国证券法》第三十六条第二款、《上市公司信息披露管理办法》（证监会令第182号）第三条第一款、《上市公司股东减持股份管理暂行办法》（证监会令第224号）第四条第二款、《上市公司监管指引第4号——上市公司及其相关方承诺》（证监会公告〔2022〕16号）第十五条第一款的规定。你已主动购回相应股份并上缴价差。</w:t>
      </w:r>
    </w:p>
    <w:p>
      <w:pPr>
        <w:overflowPunct w:val="0"/>
        <w:adjustRightInd w:val="0"/>
        <w:snapToGrid w:val="0"/>
        <w:spacing w:beforeLines="0" w:afterLines="0" w:line="312" w:lineRule="auto"/>
        <w:ind w:firstLine="640" w:firstLineChars="200"/>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中华人民共和国证券法》第一百七十条、《上市公司信息披露管理办法》第五十二条、《上市公司股东减持股份管理暂行办法》第二十九条的规定，我局决定对你采取出具警示函的行政监管措施。你应认真吸取教训，加强证券法律法规学习，切实规范减持上市公司股份行为，依法依规履行相关信息披露义务，杜绝此类违规行为再次发生。</w:t>
      </w:r>
    </w:p>
    <w:p>
      <w:pPr>
        <w:adjustRightInd w:val="0"/>
        <w:snapToGrid w:val="0"/>
        <w:spacing w:beforeLines="0" w:afterLines="0" w:line="312" w:lineRule="auto"/>
        <w:jc w:val="left"/>
        <w:rPr>
          <w:rFonts w:hint="eastAsia" w:ascii="宋体" w:hAnsi="宋体" w:cs="宋体"/>
          <w:color w:val="auto"/>
          <w:kern w:val="0"/>
          <w:sz w:val="28"/>
          <w:szCs w:val="28"/>
        </w:rPr>
      </w:pPr>
      <w:r>
        <w:rPr>
          <w:rFonts w:hint="eastAsia" w:ascii="仿宋_GB2312" w:hAnsi="仿宋_GB2312" w:eastAsia="仿宋_GB2312" w:cs="仿宋_GB2312"/>
          <w:kern w:val="0"/>
          <w:sz w:val="32"/>
          <w:szCs w:val="32"/>
          <w:lang w:val="en-US" w:eastAsia="zh-CN"/>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1"/>
          <w:szCs w:val="21"/>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1"/>
          <w:szCs w:val="21"/>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1"/>
          <w:szCs w:val="21"/>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0" w:afterLines="0" w:line="360" w:lineRule="auto"/>
        <w:ind w:firstLine="0"/>
        <w:jc w:val="center"/>
        <w:outlineLvl w:val="9"/>
        <w:rPr>
          <w:rFonts w:hint="eastAsia" w:ascii="仿宋_GB2312" w:eastAsia="仿宋_GB2312"/>
          <w:spacing w:val="8"/>
          <w:sz w:val="2"/>
          <w:szCs w:val="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3</w:t>
      </w:r>
      <w:r>
        <w:rPr>
          <w:rFonts w:hint="eastAsia" w:ascii="仿宋_GB2312" w:hAnsi="Times New Roman" w:eastAsia="仿宋_GB2312" w:cs="Times New Roman"/>
          <w:color w:val="000000"/>
          <w:spacing w:val="10"/>
          <w:sz w:val="32"/>
          <w:szCs w:val="32"/>
        </w:rPr>
        <w:t>月</w:t>
      </w:r>
      <w:r>
        <w:rPr>
          <w:rFonts w:hint="eastAsia" w:ascii="仿宋_GB2312" w:hAnsi="Times New Roman" w:eastAsia="仿宋_GB2312" w:cs="Times New Roman"/>
          <w:color w:val="000000"/>
          <w:spacing w:val="10"/>
          <w:sz w:val="32"/>
          <w:szCs w:val="32"/>
          <w:lang w:val="en-US" w:eastAsia="zh-CN"/>
        </w:rPr>
        <w:t>2</w:t>
      </w:r>
      <w:r>
        <w:rPr>
          <w:rFonts w:hint="default" w:ascii="仿宋_GB2312" w:hAnsi="Times New Roman" w:eastAsia="仿宋_GB2312" w:cs="Times New Roman"/>
          <w:color w:val="000000"/>
          <w:spacing w:val="10"/>
          <w:sz w:val="32"/>
          <w:szCs w:val="32"/>
          <w:lang w:val="en-US" w:eastAsia="zh-CN"/>
        </w:rPr>
        <w:t>4</w:t>
      </w:r>
      <w:r>
        <w:rPr>
          <w:rFonts w:hint="eastAsia" w:ascii="仿宋_GB2312" w:hAnsi="Times New Roman" w:eastAsia="仿宋_GB2312" w:cs="Times New Roman"/>
          <w:color w:val="000000"/>
          <w:spacing w:val="10"/>
          <w:sz w:val="32"/>
          <w:szCs w:val="32"/>
        </w:rPr>
        <w:t>日</w:t>
      </w:r>
    </w:p>
    <w:p>
      <w:pPr>
        <w:adjustRightInd w:val="0"/>
        <w:snapToGrid w:val="0"/>
        <w:spacing w:line="360" w:lineRule="auto"/>
        <w:ind w:right="28"/>
        <w:jc w:val="left"/>
        <w:rPr>
          <w:rFonts w:hint="eastAsia" w:ascii="黑体" w:eastAsia="黑体"/>
          <w:spacing w:val="8"/>
          <w:sz w:val="30"/>
          <w:szCs w:val="30"/>
        </w:rPr>
      </w:pPr>
    </w:p>
    <w:p>
      <w:pPr>
        <w:snapToGrid w:val="0"/>
        <w:spacing w:line="360" w:lineRule="auto"/>
        <w:ind w:right="28"/>
        <w:jc w:val="left"/>
        <w:rPr>
          <w:rFonts w:hint="eastAsia" w:ascii="黑体" w:eastAsia="黑体"/>
          <w:spacing w:val="8"/>
          <w:sz w:val="22"/>
          <w:szCs w:val="22"/>
        </w:rPr>
      </w:pPr>
    </w:p>
    <w:p>
      <w:pPr>
        <w:pBdr>
          <w:top w:val="single" w:color="auto" w:sz="8" w:space="6"/>
        </w:pBdr>
        <w:adjustRightInd w:val="0"/>
        <w:snapToGrid w:val="0"/>
        <w:spacing w:after="109" w:afterLines="35" w:line="240" w:lineRule="auto"/>
        <w:ind w:firstLine="302" w:firstLineChars="100"/>
        <w:rPr>
          <w:rFonts w:ascii="长城仿宋" w:eastAsia="长城仿宋"/>
          <w:spacing w:val="11"/>
          <w:sz w:val="28"/>
        </w:rPr>
      </w:pPr>
      <w:r>
        <w:rPr>
          <w:rFonts w:hint="eastAsia" w:ascii="仿宋_GB2312" w:eastAsia="仿宋_GB2312"/>
          <w:spacing w:val="11"/>
          <w:sz w:val="28"/>
        </w:rPr>
        <w:t>抄送：证监会上市</w:t>
      </w:r>
      <w:r>
        <w:rPr>
          <w:rFonts w:hint="eastAsia" w:ascii="仿宋_GB2312" w:eastAsia="仿宋_GB2312"/>
          <w:spacing w:val="11"/>
          <w:sz w:val="28"/>
          <w:lang w:eastAsia="zh-CN"/>
        </w:rPr>
        <w:t>司</w:t>
      </w:r>
      <w:r>
        <w:rPr>
          <w:rFonts w:hint="eastAsia" w:ascii="仿宋_GB2312" w:eastAsia="仿宋_GB2312"/>
          <w:spacing w:val="11"/>
          <w:sz w:val="28"/>
          <w:lang w:val="en-US" w:eastAsia="zh-CN"/>
        </w:rPr>
        <w:t>、法治司</w:t>
      </w:r>
      <w:r>
        <w:rPr>
          <w:rFonts w:hint="eastAsia" w:ascii="仿宋_GB2312" w:eastAsia="仿宋_GB2312"/>
          <w:spacing w:val="11"/>
          <w:sz w:val="28"/>
        </w:rPr>
        <w:t>；深圳证券交易所。</w:t>
      </w:r>
    </w:p>
    <w:p>
      <w:pPr>
        <w:pBdr>
          <w:top w:val="single" w:color="auto" w:sz="4" w:space="6"/>
        </w:pBdr>
        <w:adjustRightInd w:val="0"/>
        <w:snapToGrid w:val="0"/>
        <w:spacing w:after="109" w:afterLines="35" w:line="240" w:lineRule="auto"/>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eastAsia" w:ascii="仿宋_GB2312" w:eastAsia="仿宋_GB2312"/>
          <w:spacing w:val="8"/>
          <w:sz w:val="28"/>
          <w:lang w:val="en-US" w:eastAsia="zh-CN"/>
        </w:rPr>
        <w:t>3</w:t>
      </w:r>
      <w:r>
        <w:rPr>
          <w:rFonts w:hint="eastAsia" w:ascii="仿宋_GB2312" w:eastAsia="仿宋_GB2312"/>
          <w:spacing w:val="8"/>
          <w:sz w:val="28"/>
        </w:rPr>
        <w:t>月</w:t>
      </w:r>
      <w:r>
        <w:rPr>
          <w:rFonts w:hint="default" w:ascii="仿宋_GB2312" w:eastAsia="仿宋_GB2312"/>
          <w:spacing w:val="8"/>
          <w:sz w:val="28"/>
          <w:lang w:val="en-US" w:eastAsia="zh-CN"/>
        </w:rPr>
        <w:t>24</w:t>
      </w:r>
      <w:r>
        <w:rPr>
          <w:rFonts w:hint="eastAsia" w:ascii="仿宋_GB2312" w:eastAsia="仿宋_GB2312"/>
          <w:spacing w:val="8"/>
          <w:sz w:val="28"/>
        </w:rPr>
        <w:t>日印发</w:t>
      </w:r>
    </w:p>
    <w:p>
      <w:pPr>
        <w:pBdr>
          <w:top w:val="single" w:color="auto" w:sz="8" w:space="7"/>
        </w:pBdr>
        <w:overflowPunct w:val="0"/>
        <w:bidi w:val="0"/>
        <w:adjustRightInd w:val="0"/>
        <w:snapToGrid w:val="0"/>
        <w:spacing w:beforeLines="0" w:after="0" w:afterLines="0" w:line="240" w:lineRule="auto"/>
        <w:ind w:firstLine="0"/>
        <w:jc w:val="left"/>
        <w:rPr>
          <w:rFonts w:hint="eastAsia" w:ascii="仿宋_GB2312" w:eastAsia="仿宋_GB2312"/>
          <w:spacing w:val="8"/>
          <w:sz w:val="2"/>
          <w:szCs w:val="2"/>
        </w:rPr>
      </w:pPr>
    </w:p>
    <w:bookmarkEnd w:id="0"/>
    <w:p>
      <w:pPr>
        <w:snapToGrid w:val="0"/>
        <w:spacing w:line="240" w:lineRule="auto"/>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D360E"/>
    <w:rsid w:val="2A7B000A"/>
    <w:rsid w:val="3AEDB3CB"/>
    <w:rsid w:val="57FD360E"/>
    <w:rsid w:val="6BD5C81D"/>
    <w:rsid w:val="6FEFD4E2"/>
    <w:rsid w:val="73F7EF5C"/>
    <w:rsid w:val="7791972F"/>
    <w:rsid w:val="7FF675D3"/>
    <w:rsid w:val="BBFFC0F1"/>
    <w:rsid w:val="E5F0A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2025-03-15T02:59:00Z</dcterms:created>
  <dc:creator>郭海洋</dc:creator>
  <cp:lastModifiedBy>郭海洋</cp:lastModifiedBy>
  <dcterms:modified xsi:type="dcterms:W3CDTF">2025-04-15T09:06:43Z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405E4CD3B10943CE23B1FD6768114FD5</vt:lpwstr>
  </property>
</Properties>
</file>