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098E8">
      <w:pPr>
        <w:overflowPunct w:val="0"/>
        <w:snapToGrid w:val="0"/>
        <w:spacing w:beforeLines="0" w:afterLines="0" w:line="240" w:lineRule="auto"/>
        <w:rPr>
          <w:sz w:val="2"/>
          <w:szCs w:val="2"/>
        </w:rPr>
      </w:pPr>
      <w:bookmarkStart w:id="1" w:name="_GoBack"/>
      <w:bookmarkEnd w:id="1"/>
      <w:bookmarkStart w:id="0" w:name="quanwen"/>
    </w:p>
    <w:p w14:paraId="05E350FD">
      <w:pPr>
        <w:rPr>
          <w:rFonts w:hint="default"/>
          <w:lang w:val="en-US" w:eastAsia="zh-CN"/>
        </w:rPr>
      </w:pPr>
    </w:p>
    <w:p w14:paraId="6026411A">
      <w:pPr>
        <w:tabs>
          <w:tab w:val="left" w:pos="420"/>
        </w:tabs>
        <w:jc w:val="center"/>
        <w:rPr>
          <w:rFonts w:hint="eastAsia" w:ascii="方正小标宋简体" w:hAnsi="方正小标宋简体" w:eastAsia="方正小标宋简体"/>
          <w:b/>
          <w:color w:val="FF0000"/>
          <w:w w:val="95"/>
          <w:kern w:val="0"/>
          <w:sz w:val="44"/>
          <w:szCs w:val="116"/>
        </w:rPr>
      </w:pPr>
      <w:r>
        <w:rPr>
          <w:rFonts w:hint="eastAsia" w:ascii="方正小标宋简体" w:hAnsi="方正小标宋简体" w:eastAsia="方正小标宋简体" w:cs="黑体"/>
          <w:b/>
          <w:color w:val="FF0000"/>
          <w:w w:val="95"/>
          <w:sz w:val="44"/>
          <w:szCs w:val="72"/>
        </w:rPr>
        <w:t>中国证券监督管理委员会广东监管局</w:t>
      </w:r>
    </w:p>
    <w:p w14:paraId="2C74FF00">
      <w:pPr>
        <w:jc w:val="center"/>
        <w:rPr>
          <w:rFonts w:hint="eastAsia" w:ascii="方正小标宋简体" w:hAnsi="方正小标宋简体" w:eastAsia="方正小标宋简体"/>
          <w:snapToGrid w:val="0"/>
          <w:spacing w:val="85"/>
          <w:w w:val="90"/>
          <w:sz w:val="72"/>
          <w:szCs w:val="72"/>
        </w:rPr>
      </w:pPr>
      <w:r>
        <w:rPr>
          <w:rFonts w:hint="eastAsia" w:ascii="方正小标宋简体" w:hAnsi="方正小标宋简体" w:eastAsia="方正小标宋简体"/>
          <w:b/>
          <w:bCs/>
          <w:snapToGrid w:val="0"/>
          <w:color w:val="FF0000"/>
          <w:spacing w:val="85"/>
          <w:w w:val="90"/>
          <w:sz w:val="72"/>
          <w:szCs w:val="72"/>
        </w:rPr>
        <w:t>行政监管措施决定书</w:t>
      </w:r>
    </w:p>
    <w:p w14:paraId="7BC95CAB">
      <w:pPr>
        <w:snapToGrid w:val="0"/>
        <w:jc w:val="center"/>
        <w:rPr>
          <w:rFonts w:hint="eastAsia" w:ascii="仿宋_GB2312" w:hAnsi="仿宋_GB2312" w:eastAsia="仿宋_GB2312" w:cs="宋体"/>
          <w:sz w:val="32"/>
          <w:szCs w:val="32"/>
        </w:rPr>
      </w:pPr>
    </w:p>
    <w:p w14:paraId="3B7080FF">
      <w:pPr>
        <w:snapToGrid w:val="0"/>
        <w:spacing w:before="156" w:beforeLines="50" w:line="300" w:lineRule="auto"/>
        <w:jc w:val="center"/>
        <w:rPr>
          <w:rFonts w:ascii="黑体" w:hAnsi="Times New Roman" w:eastAsia="黑体" w:cs="Times New Roman"/>
          <w:color w:val="000000"/>
          <w:spacing w:val="12"/>
          <w:sz w:val="32"/>
        </w:rPr>
      </w:pPr>
      <w:r>
        <w:rPr>
          <w:rFonts w:hint="eastAsia" w:ascii="仿宋_GB2312" w:hAnsi="Times New Roman" w:eastAsia="仿宋_GB2312" w:cs="Times New Roman"/>
          <w:color w:val="000000"/>
          <w:spacing w:val="12"/>
          <w:sz w:val="28"/>
        </w:rPr>
        <w:t>〔20</w:t>
      </w:r>
      <w:r>
        <w:rPr>
          <w:rFonts w:hint="eastAsia" w:ascii="仿宋_GB2312" w:hAnsi="Times New Roman" w:eastAsia="仿宋_GB2312" w:cs="Times New Roman"/>
          <w:color w:val="000000"/>
          <w:spacing w:val="12"/>
          <w:sz w:val="28"/>
          <w:lang w:val="en-US" w:eastAsia="zh-CN"/>
        </w:rPr>
        <w:t>2</w:t>
      </w:r>
      <w:r>
        <w:rPr>
          <w:rFonts w:hint="default" w:ascii="仿宋_GB2312" w:eastAsia="仿宋_GB2312" w:cs="Times New Roman"/>
          <w:color w:val="000000"/>
          <w:spacing w:val="12"/>
          <w:sz w:val="28"/>
          <w:lang w:val="en-US" w:eastAsia="zh-CN"/>
        </w:rPr>
        <w:t>5</w:t>
      </w:r>
      <w:r>
        <w:rPr>
          <w:rFonts w:hint="eastAsia" w:ascii="仿宋_GB2312" w:hAnsi="Times New Roman" w:eastAsia="仿宋_GB2312" w:cs="Times New Roman"/>
          <w:color w:val="000000"/>
          <w:spacing w:val="12"/>
          <w:sz w:val="28"/>
        </w:rPr>
        <w:t>〕</w:t>
      </w:r>
      <w:r>
        <w:rPr>
          <w:rFonts w:hint="default" w:ascii="仿宋_GB2312" w:eastAsia="仿宋_GB2312" w:cs="Times New Roman"/>
          <w:color w:val="000000"/>
          <w:spacing w:val="12"/>
          <w:sz w:val="28"/>
          <w:lang w:val="en-US" w:eastAsia="zh-CN"/>
        </w:rPr>
        <w:t>44</w:t>
      </w:r>
      <w:r>
        <w:rPr>
          <w:rFonts w:hint="eastAsia" w:ascii="仿宋_GB2312" w:hAnsi="Times New Roman" w:eastAsia="仿宋_GB2312" w:cs="Times New Roman"/>
          <w:color w:val="000000"/>
          <w:spacing w:val="12"/>
          <w:sz w:val="28"/>
        </w:rPr>
        <w:t>号</w:t>
      </w:r>
    </w:p>
    <w:p w14:paraId="54845EE5">
      <w:pPr>
        <w:snapToGrid w:val="0"/>
        <w:jc w:val="center"/>
        <w:rPr>
          <w:rFonts w:hint="eastAsia" w:ascii="仿宋_GB2312" w:hAns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wvtZLWAAAACAEAAA8AAAAAAAAAAQAgAAAAIgAAAGRycy9kb3ducmV2&#10;LnhtbFBLAQIUABQAAAAIAIdO4kA7ds5j/gEAAPUDAAAOAAAAAAAAAAEAIAAAACUBAABkcnMvZTJv&#10;RG9jLnhtbFBLBQYAAAAABgAGAFkBAACVBQAAAAA=&#10;">
                <v:fill on="f" focussize="0,0"/>
                <v:stroke weight="1pt" color="#FF0000" joinstyle="round"/>
                <v:imagedata o:title=""/>
                <o:lock v:ext="edit" aspectratio="f"/>
              </v:line>
            </w:pict>
          </mc:Fallback>
        </mc:AlternateContent>
      </w:r>
    </w:p>
    <w:p w14:paraId="69B6B1E1">
      <w:pPr>
        <w:jc w:val="center"/>
        <w:rPr>
          <w:rFonts w:hint="eastAsia"/>
          <w:sz w:val="28"/>
          <w:szCs w:val="28"/>
        </w:rPr>
      </w:pPr>
    </w:p>
    <w:p w14:paraId="4BC00CAB">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Cs w:val="44"/>
        </w:rPr>
      </w:pPr>
      <w:r>
        <w:rPr>
          <w:rFonts w:hint="eastAsia" w:ascii="方正小标宋简体" w:hAnsi="方正小标宋简体" w:eastAsia="方正小标宋简体" w:cs="方正小标宋简体"/>
          <w:spacing w:val="0"/>
          <w:szCs w:val="44"/>
        </w:rPr>
        <w:t>关于对</w:t>
      </w:r>
      <w:r>
        <w:rPr>
          <w:rFonts w:hint="eastAsia" w:ascii="方正小标宋简体" w:hAnsi="方正小标宋简体" w:eastAsia="方正小标宋简体" w:cs="方正小标宋简体"/>
          <w:spacing w:val="0"/>
          <w:szCs w:val="44"/>
          <w:lang w:val="en" w:eastAsia="zh-CN"/>
        </w:rPr>
        <w:t>王宪</w:t>
      </w:r>
      <w:r>
        <w:rPr>
          <w:rFonts w:hint="eastAsia" w:ascii="方正小标宋简体" w:hAnsi="方正小标宋简体" w:eastAsia="方正小标宋简体" w:cs="方正小标宋简体"/>
          <w:spacing w:val="0"/>
          <w:szCs w:val="44"/>
          <w:lang w:eastAsia="zh-CN"/>
        </w:rPr>
        <w:t>采取</w:t>
      </w:r>
      <w:r>
        <w:rPr>
          <w:rFonts w:hint="default" w:ascii="方正小标宋简体" w:hAnsi="方正小标宋简体" w:eastAsia="方正小标宋简体" w:cs="方正小标宋简体"/>
          <w:spacing w:val="0"/>
          <w:szCs w:val="44"/>
          <w:lang w:val="en" w:eastAsia="zh-CN"/>
        </w:rPr>
        <w:t>出具警示函</w:t>
      </w:r>
      <w:r>
        <w:rPr>
          <w:rFonts w:hint="eastAsia" w:ascii="方正小标宋简体" w:hAnsi="方正小标宋简体" w:eastAsia="方正小标宋简体" w:cs="方正小标宋简体"/>
          <w:spacing w:val="0"/>
          <w:szCs w:val="44"/>
        </w:rPr>
        <w:t>措施的决定</w:t>
      </w:r>
    </w:p>
    <w:p w14:paraId="62168B30">
      <w:pPr>
        <w:snapToGrid w:val="0"/>
        <w:spacing w:before="0" w:beforeLines="0" w:afterLines="0" w:line="240" w:lineRule="auto"/>
        <w:rPr>
          <w:rFonts w:hint="eastAsia" w:ascii="方正小标宋简体" w:hAnsi="方正小标宋简体" w:eastAsia="方正小标宋简体" w:cs="方正小标宋简体"/>
          <w:spacing w:val="6"/>
          <w:sz w:val="32"/>
          <w:szCs w:val="32"/>
        </w:rPr>
      </w:pPr>
    </w:p>
    <w:p w14:paraId="20FE7091">
      <w:pPr>
        <w:keepNext w:val="0"/>
        <w:keepLines w:val="0"/>
        <w:pageBreakBefore w:val="0"/>
        <w:widowControl w:val="0"/>
        <w:kinsoku/>
        <w:wordWrap/>
        <w:overflowPunct/>
        <w:topLinePunct w:val="0"/>
        <w:autoSpaceDE/>
        <w:autoSpaceDN/>
        <w:bidi w:val="0"/>
        <w:adjustRightInd/>
        <w:snapToGrid w:val="0"/>
        <w:spacing w:before="0" w:beforeLines="0" w:after="0" w:afterLines="0" w:line="336" w:lineRule="auto"/>
        <w:ind w:left="0" w:leftChars="0" w:right="0" w:rightChars="0"/>
        <w:jc w:val="both"/>
        <w:textAlignment w:val="auto"/>
        <w:outlineLvl w:val="9"/>
        <w:rPr>
          <w:rFonts w:hint="eastAsia" w:ascii="仿宋_GB2312" w:hAnsi="仿宋_GB2312" w:eastAsia="仿宋_GB2312" w:cs="仿宋"/>
          <w:color w:val="auto"/>
          <w:sz w:val="32"/>
          <w:szCs w:val="30"/>
          <w:lang w:val="en-US" w:eastAsia="zh-CN"/>
        </w:rPr>
      </w:pPr>
      <w:r>
        <w:rPr>
          <w:rFonts w:hint="eastAsia" w:ascii="仿宋_GB2312" w:hAnsi="仿宋_GB2312" w:eastAsia="仿宋_GB2312" w:cs="仿宋"/>
          <w:color w:val="auto"/>
          <w:sz w:val="32"/>
          <w:szCs w:val="30"/>
          <w:lang w:val="en" w:eastAsia="zh-CN"/>
        </w:rPr>
        <w:t>王宪</w:t>
      </w:r>
      <w:r>
        <w:rPr>
          <w:rFonts w:hint="eastAsia" w:ascii="仿宋_GB2312" w:hAnsi="仿宋_GB2312" w:eastAsia="仿宋_GB2312" w:cs="仿宋"/>
          <w:color w:val="auto"/>
          <w:sz w:val="32"/>
          <w:szCs w:val="30"/>
          <w:lang w:val="en-US" w:eastAsia="zh-CN"/>
        </w:rPr>
        <w:t>：</w:t>
      </w:r>
    </w:p>
    <w:p w14:paraId="14D2AE37">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宋体" w:eastAsia="仿宋_GB2312"/>
          <w:color w:val="auto"/>
          <w:sz w:val="32"/>
          <w:szCs w:val="32"/>
          <w:lang w:val="en-US" w:eastAsia="zh-CN"/>
        </w:rPr>
      </w:pPr>
      <w:r>
        <w:rPr>
          <w:rFonts w:hint="eastAsia" w:ascii="仿宋_GB2312" w:hAnsi="仿宋_GB2312" w:eastAsia="仿宋_GB2312" w:cs="仿宋_GB2312"/>
          <w:sz w:val="32"/>
          <w:lang w:val="en-US" w:eastAsia="zh-CN"/>
        </w:rPr>
        <w:t>经查，</w:t>
      </w:r>
      <w:r>
        <w:rPr>
          <w:rFonts w:hint="default" w:ascii="仿宋_GB2312" w:hAnsi="宋体" w:eastAsia="仿宋_GB2312"/>
          <w:color w:val="auto"/>
          <w:sz w:val="32"/>
          <w:szCs w:val="32"/>
          <w:lang w:val="en" w:eastAsia="zh-CN"/>
        </w:rPr>
        <w:t>广东</w:t>
      </w:r>
      <w:r>
        <w:rPr>
          <w:rFonts w:hint="eastAsia" w:ascii="仿宋_GB2312" w:hAnsi="宋体" w:eastAsia="仿宋_GB2312"/>
          <w:color w:val="auto"/>
          <w:sz w:val="32"/>
          <w:szCs w:val="32"/>
          <w:lang w:val="en" w:eastAsia="zh-CN"/>
        </w:rPr>
        <w:t>华迪投资集团</w:t>
      </w:r>
      <w:r>
        <w:rPr>
          <w:rFonts w:hint="default" w:ascii="仿宋_GB2312" w:hAnsi="宋体" w:eastAsia="仿宋_GB2312"/>
          <w:color w:val="auto"/>
          <w:sz w:val="32"/>
          <w:szCs w:val="32"/>
          <w:lang w:val="en" w:eastAsia="zh-CN"/>
        </w:rPr>
        <w:t>有限公司</w:t>
      </w:r>
      <w:r>
        <w:rPr>
          <w:rFonts w:hint="eastAsia" w:ascii="仿宋_GB2312" w:hAnsi="仿宋_GB2312" w:eastAsia="仿宋_GB2312" w:cs="仿宋_GB2312"/>
          <w:sz w:val="32"/>
          <w:lang w:val="en-US" w:eastAsia="zh-CN"/>
        </w:rPr>
        <w:t>在</w:t>
      </w:r>
      <w:r>
        <w:rPr>
          <w:rFonts w:hint="eastAsia" w:ascii="仿宋_GB2312" w:hAnsi="宋体" w:eastAsia="仿宋_GB2312"/>
          <w:color w:val="auto"/>
          <w:sz w:val="32"/>
          <w:szCs w:val="32"/>
          <w:lang w:val="en-US" w:eastAsia="zh-CN"/>
        </w:rPr>
        <w:t>开展私募投资基金管理业务过程中，存在未按规定对投资者的风险识别能力和风险承担能力进行评估的违规情形。</w:t>
      </w:r>
    </w:p>
    <w:p w14:paraId="2B597578">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40" w:firstLineChars="200"/>
        <w:jc w:val="both"/>
        <w:textAlignment w:val="auto"/>
        <w:outlineLvl w:val="9"/>
        <w:rPr>
          <w:rFonts w:hint="eastAsia" w:ascii="仿宋_GB2312" w:eastAsia="仿宋_GB2312"/>
          <w:b w:val="0"/>
          <w:bCs w:val="0"/>
          <w:sz w:val="32"/>
          <w:szCs w:val="32"/>
          <w:lang w:val="en-US" w:eastAsia="zh-CN"/>
        </w:rPr>
      </w:pPr>
      <w:r>
        <w:rPr>
          <w:rFonts w:hint="eastAsia" w:ascii="仿宋_GB2312" w:hAnsi="仿宋_GB2312" w:eastAsia="仿宋_GB2312" w:cs="仿宋_GB2312"/>
          <w:spacing w:val="0"/>
          <w:sz w:val="32"/>
          <w:szCs w:val="30"/>
          <w:highlight w:val="none"/>
          <w:lang w:val="en-US" w:eastAsia="zh-CN"/>
        </w:rPr>
        <w:t>上述行为违反了</w:t>
      </w:r>
      <w:r>
        <w:rPr>
          <w:rFonts w:hint="eastAsia" w:ascii="仿宋_GB2312" w:hAnsi="宋体" w:eastAsia="仿宋_GB2312"/>
          <w:b w:val="0"/>
          <w:bCs w:val="0"/>
          <w:color w:val="auto"/>
          <w:sz w:val="32"/>
          <w:szCs w:val="32"/>
          <w:lang w:val="en-US" w:eastAsia="zh-CN"/>
        </w:rPr>
        <w:t>《私募投资基金监督管理暂行办法》（证监会令第105号，以下简称《私募办法》）</w:t>
      </w:r>
      <w:r>
        <w:rPr>
          <w:rFonts w:hint="eastAsia" w:ascii="仿宋_GB2312" w:eastAsia="仿宋_GB2312"/>
          <w:b w:val="0"/>
          <w:bCs w:val="0"/>
          <w:color w:val="auto"/>
          <w:sz w:val="32"/>
          <w:szCs w:val="32"/>
          <w:lang w:val="en-US" w:eastAsia="zh-CN"/>
        </w:rPr>
        <w:t>第十六</w:t>
      </w:r>
      <w:r>
        <w:rPr>
          <w:rFonts w:hint="eastAsia" w:ascii="仿宋_GB2312" w:eastAsia="仿宋_GB2312"/>
          <w:b w:val="0"/>
          <w:bCs w:val="0"/>
          <w:color w:val="auto"/>
          <w:sz w:val="32"/>
          <w:szCs w:val="32"/>
          <w:highlight w:val="none"/>
          <w:lang w:val="en-US" w:eastAsia="zh-CN"/>
        </w:rPr>
        <w:t>条第一款</w:t>
      </w:r>
      <w:r>
        <w:rPr>
          <w:rFonts w:hint="eastAsia" w:ascii="仿宋_GB2312" w:eastAsia="仿宋_GB2312"/>
          <w:b w:val="0"/>
          <w:bCs w:val="0"/>
          <w:sz w:val="32"/>
          <w:szCs w:val="32"/>
          <w:lang w:val="en-US" w:eastAsia="zh-CN"/>
        </w:rPr>
        <w:t>的规定。</w:t>
      </w:r>
    </w:p>
    <w:p w14:paraId="503CA556">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仿宋"/>
          <w:color w:val="auto"/>
          <w:sz w:val="32"/>
          <w:szCs w:val="30"/>
          <w:lang w:val="en-US" w:eastAsia="zh-CN"/>
        </w:rPr>
      </w:pPr>
      <w:r>
        <w:rPr>
          <w:rFonts w:hint="eastAsia" w:ascii="仿宋_GB2312" w:hAnsi="仿宋_GB2312" w:eastAsia="仿宋_GB2312" w:cs="仿宋_GB2312"/>
          <w:color w:val="auto"/>
          <w:sz w:val="32"/>
          <w:szCs w:val="24"/>
          <w:lang w:val="en-US" w:eastAsia="zh-CN"/>
        </w:rPr>
        <w:t>你作为广东华迪投资集团有限公司法定代表人、董事长、总经理未勤勉谨慎履行相关责任和义务，对上述违规行为负有主要责任，违反了《私募办法》第四条第二款的规定。</w:t>
      </w:r>
      <w:r>
        <w:rPr>
          <w:rFonts w:hint="eastAsia" w:ascii="仿宋_GB2312" w:hAnsi="仿宋_GB2312" w:eastAsia="仿宋_GB2312" w:cs="仿宋"/>
          <w:color w:val="auto"/>
          <w:sz w:val="32"/>
          <w:szCs w:val="30"/>
          <w:lang w:val="en-US" w:eastAsia="zh-CN"/>
        </w:rPr>
        <w:t>根据《私募办法》第三十三条的规定，我局决定对你采取出具警示函的行政监管措施。</w:t>
      </w:r>
    </w:p>
    <w:p w14:paraId="72495EAC">
      <w:pPr>
        <w:overflowPunct w:val="0"/>
        <w:adjustRightInd w:val="0"/>
        <w:snapToGrid w:val="0"/>
        <w:spacing w:beforeLines="0" w:afterLines="0" w:line="336" w:lineRule="auto"/>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eastAsia="zh-CN"/>
        </w:rPr>
        <w:t>你</w:t>
      </w:r>
      <w:r>
        <w:rPr>
          <w:rFonts w:hint="eastAsia" w:ascii="仿宋_GB2312" w:hAnsi="仿宋_GB2312" w:eastAsia="仿宋_GB2312" w:cs="仿宋_GB2312"/>
          <w:sz w:val="32"/>
        </w:rPr>
        <w:t>如果对本</w:t>
      </w:r>
      <w:r>
        <w:rPr>
          <w:rFonts w:hint="eastAsia" w:ascii="仿宋_GB2312" w:hAnsi="仿宋_GB2312" w:eastAsia="仿宋_GB2312" w:cs="仿宋_GB2312"/>
          <w:sz w:val="32"/>
          <w:lang w:eastAsia="zh-CN"/>
        </w:rPr>
        <w:t>监管</w:t>
      </w:r>
      <w:r>
        <w:rPr>
          <w:rFonts w:hint="eastAsia" w:ascii="仿宋_GB2312" w:hAnsi="仿宋_GB2312" w:eastAsia="仿宋_GB2312" w:cs="仿宋_GB2312"/>
          <w:sz w:val="32"/>
        </w:rPr>
        <w:t>措施不服，可以在收到本决定书之日起60日内向中国证券监督管理委员会提出行政复议申请</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也可以在收到本决定书之日起6个月内向有管辖权的人民法院提起诉讼。复议与诉讼期间，上述监督管理措施不停止执行。</w:t>
      </w:r>
    </w:p>
    <w:p w14:paraId="1032DF59">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14:paraId="1D2624D8">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14:paraId="7001EC4B">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14:paraId="29613B89">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14:paraId="7397A548">
      <w:pPr>
        <w:widowControl/>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eastAsia" w:ascii="仿宋_GB2312" w:hAnsi="Times New Roman" w:eastAsia="仿宋_GB2312" w:cs="Times New Roman"/>
          <w:color w:val="000000"/>
          <w:spacing w:val="10"/>
          <w:sz w:val="32"/>
          <w:szCs w:val="32"/>
          <w:lang w:val="en-US" w:eastAsia="zh-CN"/>
        </w:rPr>
        <w:t>4</w:t>
      </w:r>
      <w:r>
        <w:rPr>
          <w:rFonts w:hint="eastAsia" w:ascii="仿宋_GB2312" w:hAnsi="Times New Roman" w:eastAsia="仿宋_GB2312" w:cs="Times New Roman"/>
          <w:color w:val="000000"/>
          <w:spacing w:val="10"/>
          <w:sz w:val="32"/>
          <w:szCs w:val="32"/>
        </w:rPr>
        <w:t>月</w:t>
      </w:r>
      <w:r>
        <w:rPr>
          <w:rFonts w:hint="eastAsia" w:ascii="仿宋_GB2312" w:eastAsia="仿宋_GB2312" w:cs="Times New Roman"/>
          <w:color w:val="000000"/>
          <w:spacing w:val="10"/>
          <w:sz w:val="32"/>
          <w:szCs w:val="32"/>
          <w:lang w:val="en-US" w:eastAsia="zh-CN"/>
        </w:rPr>
        <w:t>1</w:t>
      </w:r>
      <w:r>
        <w:rPr>
          <w:rFonts w:hint="default" w:ascii="仿宋_GB2312" w:eastAsia="仿宋_GB2312" w:cs="Times New Roman"/>
          <w:color w:val="000000"/>
          <w:spacing w:val="10"/>
          <w:sz w:val="32"/>
          <w:szCs w:val="32"/>
          <w:lang w:val="en-US" w:eastAsia="zh-CN"/>
        </w:rPr>
        <w:t>7</w:t>
      </w:r>
      <w:r>
        <w:rPr>
          <w:rFonts w:hint="eastAsia" w:ascii="仿宋_GB2312" w:hAnsi="Times New Roman" w:eastAsia="仿宋_GB2312" w:cs="Times New Roman"/>
          <w:color w:val="000000"/>
          <w:spacing w:val="10"/>
          <w:sz w:val="32"/>
          <w:szCs w:val="32"/>
        </w:rPr>
        <w:t>日</w:t>
      </w:r>
    </w:p>
    <w:p w14:paraId="5D38C340">
      <w:pPr>
        <w:adjustRightInd w:val="0"/>
        <w:snapToGrid w:val="0"/>
        <w:spacing w:line="360" w:lineRule="auto"/>
        <w:ind w:right="28"/>
        <w:jc w:val="left"/>
        <w:rPr>
          <w:rFonts w:hint="eastAsia" w:ascii="黑体" w:eastAsia="黑体"/>
          <w:spacing w:val="8"/>
          <w:sz w:val="30"/>
          <w:szCs w:val="30"/>
        </w:rPr>
      </w:pPr>
    </w:p>
    <w:p w14:paraId="7AA94943">
      <w:pPr>
        <w:adjustRightInd w:val="0"/>
        <w:snapToGrid w:val="0"/>
        <w:spacing w:line="360" w:lineRule="auto"/>
        <w:ind w:right="28"/>
        <w:jc w:val="left"/>
        <w:rPr>
          <w:rFonts w:hint="eastAsia" w:ascii="黑体" w:eastAsia="黑体"/>
          <w:spacing w:val="8"/>
          <w:sz w:val="30"/>
          <w:szCs w:val="30"/>
        </w:rPr>
      </w:pPr>
    </w:p>
    <w:p w14:paraId="273E6644">
      <w:pPr>
        <w:adjustRightInd w:val="0"/>
        <w:snapToGrid w:val="0"/>
        <w:spacing w:line="360" w:lineRule="auto"/>
        <w:ind w:right="28"/>
        <w:jc w:val="left"/>
        <w:rPr>
          <w:rFonts w:hint="eastAsia" w:ascii="黑体" w:eastAsia="黑体"/>
          <w:spacing w:val="8"/>
          <w:sz w:val="30"/>
          <w:szCs w:val="30"/>
        </w:rPr>
      </w:pPr>
    </w:p>
    <w:p w14:paraId="71A09E3F">
      <w:pPr>
        <w:adjustRightInd w:val="0"/>
        <w:snapToGrid w:val="0"/>
        <w:spacing w:line="360" w:lineRule="auto"/>
        <w:ind w:right="28"/>
        <w:jc w:val="left"/>
        <w:rPr>
          <w:rFonts w:hint="eastAsia" w:ascii="黑体" w:eastAsia="黑体"/>
          <w:spacing w:val="8"/>
          <w:sz w:val="30"/>
          <w:szCs w:val="30"/>
        </w:rPr>
      </w:pPr>
    </w:p>
    <w:p w14:paraId="35261143">
      <w:pPr>
        <w:adjustRightInd w:val="0"/>
        <w:snapToGrid w:val="0"/>
        <w:spacing w:line="360" w:lineRule="auto"/>
        <w:ind w:right="28"/>
        <w:jc w:val="left"/>
        <w:rPr>
          <w:rFonts w:hint="eastAsia" w:ascii="黑体" w:eastAsia="黑体"/>
          <w:spacing w:val="8"/>
          <w:sz w:val="30"/>
          <w:szCs w:val="30"/>
        </w:rPr>
      </w:pPr>
    </w:p>
    <w:p w14:paraId="3AAFA1F3">
      <w:pPr>
        <w:adjustRightInd w:val="0"/>
        <w:snapToGrid w:val="0"/>
        <w:spacing w:line="360" w:lineRule="auto"/>
        <w:ind w:right="28"/>
        <w:jc w:val="left"/>
        <w:rPr>
          <w:rFonts w:hint="eastAsia" w:ascii="黑体" w:eastAsia="黑体"/>
          <w:spacing w:val="8"/>
          <w:sz w:val="30"/>
          <w:szCs w:val="30"/>
        </w:rPr>
      </w:pPr>
    </w:p>
    <w:p w14:paraId="06939AA2">
      <w:pPr>
        <w:adjustRightInd w:val="0"/>
        <w:snapToGrid w:val="0"/>
        <w:spacing w:line="360" w:lineRule="auto"/>
        <w:ind w:right="28"/>
        <w:jc w:val="left"/>
        <w:rPr>
          <w:rFonts w:hint="eastAsia" w:ascii="黑体" w:eastAsia="黑体"/>
          <w:spacing w:val="8"/>
          <w:sz w:val="30"/>
          <w:szCs w:val="30"/>
        </w:rPr>
      </w:pPr>
    </w:p>
    <w:p w14:paraId="7076C8A3">
      <w:pPr>
        <w:adjustRightInd w:val="0"/>
        <w:snapToGrid w:val="0"/>
        <w:spacing w:line="360" w:lineRule="auto"/>
        <w:ind w:right="28"/>
        <w:jc w:val="left"/>
        <w:rPr>
          <w:rFonts w:hint="eastAsia" w:ascii="黑体" w:eastAsia="黑体"/>
          <w:spacing w:val="8"/>
          <w:sz w:val="30"/>
          <w:szCs w:val="30"/>
        </w:rPr>
      </w:pPr>
    </w:p>
    <w:p w14:paraId="4B9F00C8">
      <w:pPr>
        <w:adjustRightInd w:val="0"/>
        <w:snapToGrid w:val="0"/>
        <w:spacing w:line="360" w:lineRule="auto"/>
        <w:ind w:right="28"/>
        <w:jc w:val="left"/>
        <w:rPr>
          <w:rFonts w:hint="eastAsia" w:ascii="黑体" w:eastAsia="黑体"/>
          <w:spacing w:val="8"/>
          <w:sz w:val="30"/>
          <w:szCs w:val="30"/>
        </w:rPr>
      </w:pPr>
    </w:p>
    <w:p w14:paraId="3F90FDE2">
      <w:pPr>
        <w:snapToGrid w:val="0"/>
        <w:spacing w:line="360" w:lineRule="auto"/>
        <w:ind w:right="28"/>
        <w:jc w:val="left"/>
        <w:rPr>
          <w:rFonts w:hint="eastAsia" w:ascii="黑体" w:eastAsia="黑体"/>
          <w:spacing w:val="8"/>
          <w:sz w:val="28"/>
          <w:szCs w:val="28"/>
        </w:rPr>
      </w:pPr>
    </w:p>
    <w:p w14:paraId="65F6E9D8">
      <w:pPr>
        <w:pBdr>
          <w:top w:val="single" w:color="auto" w:sz="8" w:space="6"/>
        </w:pBdr>
        <w:adjustRightInd w:val="0"/>
        <w:snapToGrid w:val="0"/>
        <w:spacing w:after="109" w:afterLines="35" w:line="240" w:lineRule="auto"/>
        <w:ind w:firstLine="302" w:firstLineChars="100"/>
        <w:rPr>
          <w:rFonts w:hint="eastAsia" w:ascii="仿宋_GB2312" w:eastAsia="仿宋_GB2312"/>
          <w:spacing w:val="11"/>
          <w:sz w:val="28"/>
        </w:rPr>
      </w:pPr>
      <w:r>
        <w:rPr>
          <w:rFonts w:hint="eastAsia" w:ascii="仿宋_GB2312" w:eastAsia="仿宋_GB2312"/>
          <w:spacing w:val="11"/>
          <w:sz w:val="28"/>
        </w:rPr>
        <w:t>抄送：证监会稽查局，市场二司，法治司；</w:t>
      </w:r>
    </w:p>
    <w:p w14:paraId="51642050">
      <w:pPr>
        <w:pBdr>
          <w:top w:val="single" w:color="auto" w:sz="8" w:space="6"/>
        </w:pBdr>
        <w:adjustRightInd w:val="0"/>
        <w:snapToGrid w:val="0"/>
        <w:spacing w:after="109" w:afterLines="35" w:line="240" w:lineRule="auto"/>
        <w:ind w:firstLine="1208" w:firstLineChars="400"/>
        <w:rPr>
          <w:rFonts w:ascii="长城仿宋" w:eastAsia="长城仿宋"/>
          <w:spacing w:val="11"/>
          <w:sz w:val="28"/>
        </w:rPr>
      </w:pPr>
      <w:r>
        <w:rPr>
          <w:rFonts w:hint="eastAsia" w:ascii="仿宋_GB2312" w:eastAsia="仿宋_GB2312"/>
          <w:spacing w:val="11"/>
          <w:sz w:val="28"/>
        </w:rPr>
        <w:t>中国证券投资基金业协会。</w:t>
      </w:r>
    </w:p>
    <w:p w14:paraId="1E32847D">
      <w:pPr>
        <w:pBdr>
          <w:top w:val="single" w:color="auto" w:sz="4" w:space="6"/>
        </w:pBdr>
        <w:adjustRightInd w:val="0"/>
        <w:snapToGrid w:val="0"/>
        <w:spacing w:after="109" w:afterLines="35" w:line="240" w:lineRule="auto"/>
        <w:ind w:firstLine="318"/>
        <w:jc w:val="left"/>
        <w:rPr>
          <w:rFonts w:hint="eastAsia" w:ascii="仿宋_GB2312" w:eastAsia="仿宋_GB2312"/>
          <w:spacing w:val="8"/>
          <w:sz w:val="28"/>
        </w:rPr>
      </w:pPr>
      <w:r>
        <w:rPr>
          <w:rFonts w:hint="eastAsia" w:ascii="仿宋_GB2312" w:eastAsia="仿宋_GB2312"/>
          <w:spacing w:val="8"/>
          <w:sz w:val="28"/>
        </w:rPr>
        <w:t xml:space="preserve">广东证监局办公室        </w:t>
      </w:r>
      <w:r>
        <w:rPr>
          <w:rFonts w:hint="eastAsia" w:ascii="仿宋_GB2312" w:eastAsia="仿宋_GB2312"/>
          <w:spacing w:val="8"/>
          <w:sz w:val="28"/>
          <w:lang w:val="en-US" w:eastAsia="zh-CN"/>
        </w:rPr>
        <w:t xml:space="preserve">  </w:t>
      </w:r>
      <w:r>
        <w:rPr>
          <w:rFonts w:hint="eastAsia" w:ascii="仿宋_GB2312" w:eastAsia="仿宋_GB2312"/>
          <w:spacing w:val="8"/>
          <w:sz w:val="28"/>
        </w:rPr>
        <w:t xml:space="preserve">   </w:t>
      </w:r>
      <w:r>
        <w:rPr>
          <w:rFonts w:hint="eastAsia" w:ascii="仿宋_GB2312" w:eastAsia="仿宋_GB2312"/>
          <w:spacing w:val="8"/>
          <w:sz w:val="28"/>
          <w:lang w:val="en-US" w:eastAsia="zh-CN"/>
        </w:rPr>
        <w:t xml:space="preserve"> </w:t>
      </w:r>
      <w:r>
        <w:rPr>
          <w:rFonts w:hint="eastAsia" w:ascii="仿宋_GB2312" w:eastAsia="仿宋_GB2312"/>
          <w:spacing w:val="8"/>
          <w:sz w:val="28"/>
        </w:rPr>
        <w:t xml:space="preserve"> </w:t>
      </w:r>
      <w:r>
        <w:rPr>
          <w:rFonts w:hint="eastAsia" w:ascii="仿宋_GB2312" w:eastAsia="仿宋_GB2312"/>
          <w:spacing w:val="8"/>
          <w:sz w:val="28"/>
          <w:lang w:val="en-US" w:eastAsia="zh-CN"/>
        </w:rPr>
        <w:t xml:space="preserve">    </w:t>
      </w:r>
      <w:r>
        <w:rPr>
          <w:rFonts w:hint="eastAsia" w:ascii="仿宋_GB2312" w:eastAsia="仿宋_GB2312"/>
          <w:spacing w:val="8"/>
          <w:sz w:val="28"/>
          <w:lang w:eastAsia="zh-CN"/>
        </w:rPr>
        <w:t>20</w:t>
      </w:r>
      <w:r>
        <w:rPr>
          <w:rFonts w:hint="eastAsia" w:ascii="仿宋_GB2312" w:eastAsia="仿宋_GB2312"/>
          <w:spacing w:val="8"/>
          <w:sz w:val="28"/>
          <w:lang w:val="en-US" w:eastAsia="zh-CN"/>
        </w:rPr>
        <w:t>25</w:t>
      </w:r>
      <w:r>
        <w:rPr>
          <w:rFonts w:hint="eastAsia" w:ascii="仿宋_GB2312" w:eastAsia="仿宋_GB2312"/>
          <w:spacing w:val="8"/>
          <w:sz w:val="28"/>
        </w:rPr>
        <w:t>年</w:t>
      </w:r>
      <w:r>
        <w:rPr>
          <w:rFonts w:hint="eastAsia" w:ascii="仿宋_GB2312" w:eastAsia="仿宋_GB2312"/>
          <w:spacing w:val="8"/>
          <w:sz w:val="28"/>
          <w:lang w:val="en-US" w:eastAsia="zh-CN"/>
        </w:rPr>
        <w:t>4</w:t>
      </w:r>
      <w:r>
        <w:rPr>
          <w:rFonts w:hint="eastAsia" w:ascii="仿宋_GB2312" w:eastAsia="仿宋_GB2312"/>
          <w:spacing w:val="8"/>
          <w:sz w:val="28"/>
        </w:rPr>
        <w:t>月</w:t>
      </w:r>
      <w:r>
        <w:rPr>
          <w:rFonts w:hint="default" w:ascii="仿宋_GB2312" w:eastAsia="仿宋_GB2312"/>
          <w:spacing w:val="8"/>
          <w:sz w:val="28"/>
          <w:lang w:val="en-US" w:eastAsia="zh-CN"/>
        </w:rPr>
        <w:t>17</w:t>
      </w:r>
      <w:r>
        <w:rPr>
          <w:rFonts w:hint="eastAsia" w:ascii="仿宋_GB2312" w:eastAsia="仿宋_GB2312"/>
          <w:spacing w:val="8"/>
          <w:sz w:val="28"/>
        </w:rPr>
        <w:t>日印发</w:t>
      </w:r>
    </w:p>
    <w:p w14:paraId="120DA527">
      <w:pPr>
        <w:pBdr>
          <w:top w:val="single" w:color="auto" w:sz="8" w:space="7"/>
        </w:pBdr>
        <w:overflowPunct w:val="0"/>
        <w:bidi w:val="0"/>
        <w:adjustRightInd w:val="0"/>
        <w:snapToGrid w:val="0"/>
        <w:spacing w:beforeLines="0" w:after="0" w:afterLines="0" w:line="240" w:lineRule="auto"/>
        <w:ind w:firstLine="0"/>
        <w:jc w:val="left"/>
        <w:rPr>
          <w:rFonts w:hint="default" w:ascii="仿宋_GB2312" w:eastAsia="仿宋_GB2312"/>
          <w:spacing w:val="8"/>
          <w:sz w:val="2"/>
          <w:szCs w:val="2"/>
          <w:lang w:val="en-US" w:eastAsia="zh-CN"/>
        </w:rPr>
      </w:pPr>
    </w:p>
    <w:bookmarkEnd w:id="0"/>
    <w:p w14:paraId="0641A06F">
      <w:pPr>
        <w:snapToGrid w:val="0"/>
        <w:spacing w:beforeLines="0" w:afterLines="0"/>
        <w:rPr>
          <w:sz w:val="2"/>
          <w:szCs w:val="2"/>
        </w:rPr>
      </w:pPr>
    </w:p>
    <w:sectPr>
      <w:headerReference r:id="rId3" w:type="default"/>
      <w:footerReference r:id="rId4" w:type="default"/>
      <w:pgSz w:w="11906" w:h="16838"/>
      <w:pgMar w:top="2097"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宋体"/>
    <w:panose1 w:val="02010609000101010101"/>
    <w:charset w:val="00"/>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5A8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35C3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D66C2"/>
    <w:rsid w:val="4C117B15"/>
    <w:rsid w:val="5FFF4346"/>
    <w:rsid w:val="610D4AC3"/>
    <w:rsid w:val="668FCBDC"/>
    <w:rsid w:val="6D7A1915"/>
    <w:rsid w:val="7E3D66C2"/>
    <w:rsid w:val="9FFBA17F"/>
    <w:rsid w:val="ABF9261C"/>
    <w:rsid w:val="C63F0273"/>
    <w:rsid w:val="FB3F5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styleId="3">
    <w:name w:val="Body Text"/>
    <w:basedOn w:val="1"/>
    <w:unhideWhenUsed/>
    <w:qFormat/>
    <w:uiPriority w:val="99"/>
    <w:pPr>
      <w:jc w:val="center"/>
    </w:pPr>
    <w:rPr>
      <w:rFonts w:eastAsia="黑体"/>
      <w:kern w:val="0"/>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827</Words>
  <Characters>857</Characters>
  <Lines>0</Lines>
  <Paragraphs>0</Paragraphs>
  <TotalTime>0</TotalTime>
  <ScaleCrop>false</ScaleCrop>
  <LinksUpToDate>false</LinksUpToDate>
  <CharactersWithSpaces>939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2025-04-10T21:57:00Z</dcterms:created>
  <dc:creator>张加曦</dc:creator>
  <cp:lastModifiedBy>张加曦</cp:lastModifiedBy>
  <dcterms:modified xsi:type="dcterms:W3CDTF">2025-04-25T01:07:24Z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041C3D06C1284DD19F6C17C8BE336133_13</vt:lpwstr>
  </property>
  <property fmtid="{D5CDD505-2E9C-101B-9397-08002B2CF9AE}" pid="4" name="KSOTemplateDocerSaveRecord">
    <vt:lpwstr>eyJoZGlkIjoiYzhhNzVhNzY2NTQ4NDVkMTYzYmViMjZlNzY1ZjM1MGUiLCJ1c2VySWQiOiI3MzkxNTk0OTYifQ==</vt:lpwstr>
  </property>
</Properties>
</file>