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44"/>
          <w:szCs w:val="44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〕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/>
        </w:rPr>
        <w:t>27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号</w:t>
      </w:r>
    </w:p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widowControl w:val="0"/>
        <w:wordWrap/>
        <w:adjustRightInd w:val="0"/>
        <w:snapToGrid w:val="0"/>
        <w:spacing w:beforeLines="0" w:afterLines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bookmarkStart w:id="1" w:name="_GoBack"/>
      <w:bookmarkStart w:id="0" w:name="quanwen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对汤新联采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出具警示函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措施的决定</w:t>
      </w:r>
    </w:p>
    <w:bookmarkEnd w:id="1"/>
    <w:p>
      <w:pPr>
        <w:widowControl w:val="0"/>
        <w:wordWrap/>
        <w:adjustRightInd w:val="0"/>
        <w:snapToGrid w:val="0"/>
        <w:spacing w:beforeLines="0" w:afterLines="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</w:pPr>
    </w:p>
    <w:p>
      <w:pPr>
        <w:widowControl w:val="0"/>
        <w:wordWrap/>
        <w:overflowPunct w:val="0"/>
        <w:adjustRightInd w:val="0"/>
        <w:snapToGrid w:val="0"/>
        <w:spacing w:line="336" w:lineRule="auto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0"/>
          <w:highlight w:val="none"/>
          <w:lang w:val="en-US" w:eastAsia="zh-CN"/>
        </w:rPr>
        <w:t>汤新联：</w:t>
      </w:r>
    </w:p>
    <w:p>
      <w:pPr>
        <w:widowControl w:val="0"/>
        <w:wordWrap/>
        <w:overflowPunct w:val="0"/>
        <w:adjustRightInd w:val="0"/>
        <w:snapToGrid w:val="0"/>
        <w:spacing w:line="336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pacing w:val="0"/>
          <w:kern w:val="0"/>
          <w:sz w:val="32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0"/>
          <w:highlight w:val="none"/>
          <w:lang w:eastAsia="zh-CN"/>
        </w:rPr>
        <w:t>经查，你于2022年3月18日起任惠州光弘科技股份有限公司（以下简称光弘科技）独立董事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0"/>
          <w:highlight w:val="none"/>
          <w:lang w:val="en-US" w:eastAsia="zh-CN"/>
        </w:rPr>
        <w:t>。你的母亲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汤映荣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0"/>
          <w:highlight w:val="none"/>
          <w:lang w:val="en-US" w:eastAsia="zh-CN"/>
        </w:rPr>
        <w:t>通过二级市场交易“</w:t>
      </w:r>
      <w:r>
        <w:rPr>
          <w:rFonts w:hint="eastAsia" w:ascii="仿宋_GB2312" w:eastAsia="仿宋_GB2312"/>
          <w:color w:val="auto"/>
          <w:sz w:val="32"/>
          <w:szCs w:val="30"/>
          <w:highlight w:val="none"/>
          <w:lang w:eastAsia="zh-CN"/>
        </w:rPr>
        <w:t>光弘科技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0"/>
          <w:highlight w:val="none"/>
          <w:lang w:val="en-US" w:eastAsia="zh-CN"/>
        </w:rPr>
        <w:t>”股票情况如下：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2024年8月1日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0"/>
          <w:highlight w:val="none"/>
          <w:lang w:val="en-US" w:eastAsia="zh-CN"/>
        </w:rPr>
        <w:t>买入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9,900股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0"/>
          <w:highlight w:val="none"/>
          <w:lang w:val="en-US" w:eastAsia="zh-CN"/>
        </w:rPr>
        <w:t>，成交均价20.31元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0"/>
          <w:highlight w:val="none"/>
          <w:lang w:val="en" w:eastAsia="zh-CN"/>
        </w:rPr>
        <w:t>/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0"/>
          <w:highlight w:val="none"/>
          <w:lang w:val="en" w:eastAsia="zh-CN"/>
        </w:rPr>
        <w:t>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0"/>
          <w:highlight w:val="none"/>
          <w:lang w:val="en-US" w:eastAsia="zh-CN"/>
        </w:rPr>
        <w:t>，成交金额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20.11万元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0"/>
          <w:highlight w:val="none"/>
          <w:lang w:val="en-US" w:eastAsia="zh-CN"/>
        </w:rPr>
        <w:t>，2024年9月20日买入1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0"/>
          <w:highlight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0"/>
          <w:highlight w:val="none"/>
          <w:lang w:val="en-US" w:eastAsia="zh-CN"/>
        </w:rPr>
        <w:t>500股，成交均价17.12元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0"/>
          <w:highlight w:val="non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0"/>
          <w:highlight w:val="none"/>
          <w:lang w:val="en-US" w:eastAsia="zh-CN"/>
        </w:rPr>
        <w:t>股，成交金额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2.57万元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0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0"/>
          <w:highlight w:val="none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0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0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30日</w:t>
      </w:r>
      <w:r>
        <w:rPr>
          <w:rFonts w:hint="eastAsia" w:ascii="仿宋_GB2312" w:hAnsi="仿宋_GB2312" w:eastAsia="仿宋_GB2312" w:cs="仿宋_GB2312"/>
          <w:kern w:val="0"/>
          <w:sz w:val="32"/>
          <w:szCs w:val="30"/>
          <w:highlight w:val="none"/>
          <w:lang w:eastAsia="zh-CN"/>
        </w:rPr>
        <w:t>卖出</w:t>
      </w:r>
      <w:r>
        <w:rPr>
          <w:rFonts w:hint="eastAsia" w:ascii="仿宋_GB2312" w:hAnsi="仿宋_GB2312" w:eastAsia="仿宋_GB2312" w:cs="仿宋_GB2312"/>
          <w:kern w:val="0"/>
          <w:sz w:val="32"/>
          <w:szCs w:val="30"/>
          <w:highlight w:val="none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700股</w:t>
      </w:r>
      <w:r>
        <w:rPr>
          <w:rFonts w:hint="eastAsia" w:ascii="仿宋_GB2312" w:hAnsi="仿宋_GB2312" w:eastAsia="仿宋_GB2312" w:cs="仿宋_GB2312"/>
          <w:kern w:val="0"/>
          <w:sz w:val="32"/>
          <w:szCs w:val="30"/>
          <w:highlight w:val="none"/>
        </w:rPr>
        <w:t>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0"/>
          <w:highlight w:val="none"/>
          <w:lang w:val="en-US" w:eastAsia="zh-CN"/>
        </w:rPr>
        <w:t>成交均价26元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0"/>
          <w:highlight w:val="none"/>
          <w:lang w:val="en" w:eastAsia="zh-CN"/>
        </w:rPr>
        <w:t>/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0"/>
          <w:highlight w:val="none"/>
          <w:lang w:val="en" w:eastAsia="zh-CN"/>
        </w:rPr>
        <w:t>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0"/>
          <w:highlight w:val="none"/>
          <w:lang w:val="en-US" w:eastAsia="zh-CN"/>
        </w:rPr>
        <w:t>，成交金额14.82万元；</w:t>
      </w:r>
      <w:r>
        <w:rPr>
          <w:rFonts w:hint="eastAsia" w:ascii="仿宋_GB2312" w:hAnsi="仿宋_GB2312" w:eastAsia="仿宋_GB2312" w:cs="仿宋_GB2312"/>
          <w:kern w:val="0"/>
          <w:sz w:val="32"/>
          <w:szCs w:val="30"/>
          <w:highlight w:val="none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0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0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8日</w:t>
      </w:r>
      <w:r>
        <w:rPr>
          <w:rFonts w:hint="eastAsia" w:ascii="仿宋_GB2312" w:hAnsi="仿宋_GB2312" w:eastAsia="仿宋_GB2312" w:cs="仿宋_GB2312"/>
          <w:kern w:val="0"/>
          <w:sz w:val="32"/>
          <w:szCs w:val="30"/>
          <w:highlight w:val="none"/>
          <w:lang w:eastAsia="zh-CN"/>
        </w:rPr>
        <w:t>卖出</w:t>
      </w:r>
      <w:r>
        <w:rPr>
          <w:rFonts w:hint="eastAsia" w:ascii="仿宋_GB2312" w:hAnsi="仿宋_GB2312" w:eastAsia="仿宋_GB2312" w:cs="仿宋_GB2312"/>
          <w:kern w:val="0"/>
          <w:sz w:val="32"/>
          <w:szCs w:val="30"/>
          <w:highlight w:val="none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700股</w:t>
      </w:r>
      <w:r>
        <w:rPr>
          <w:rFonts w:hint="eastAsia" w:ascii="仿宋_GB2312" w:hAnsi="仿宋_GB2312" w:eastAsia="仿宋_GB2312" w:cs="仿宋_GB2312"/>
          <w:kern w:val="0"/>
          <w:sz w:val="32"/>
          <w:szCs w:val="30"/>
          <w:highlight w:val="none"/>
        </w:rPr>
        <w:t>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0"/>
          <w:highlight w:val="none"/>
          <w:lang w:val="en-US" w:eastAsia="zh-CN"/>
        </w:rPr>
        <w:t>成交均价31.42元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0"/>
          <w:highlight w:val="none"/>
          <w:lang w:val="en" w:eastAsia="zh-CN"/>
        </w:rPr>
        <w:t>/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0"/>
          <w:highlight w:val="none"/>
          <w:lang w:val="en" w:eastAsia="zh-CN"/>
        </w:rPr>
        <w:t>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0"/>
          <w:highlight w:val="none"/>
          <w:lang w:val="en-US" w:eastAsia="zh-CN"/>
        </w:rPr>
        <w:t>，成交金额17.91万元。违规所得10.03万元已上缴光弘科技。</w:t>
      </w:r>
    </w:p>
    <w:p>
      <w:pPr>
        <w:widowControl w:val="0"/>
        <w:wordWrap/>
        <w:overflowPunct w:val="0"/>
        <w:adjustRightInd w:val="0"/>
        <w:snapToGrid w:val="0"/>
        <w:spacing w:line="336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0"/>
          <w:highlight w:val="none"/>
          <w:lang w:val="en-US" w:eastAsia="zh-CN"/>
        </w:rPr>
        <w:t>你作为</w:t>
      </w:r>
      <w:r>
        <w:rPr>
          <w:rFonts w:hint="eastAsia" w:ascii="仿宋_GB2312" w:eastAsia="仿宋_GB2312"/>
          <w:color w:val="auto"/>
          <w:sz w:val="32"/>
          <w:szCs w:val="30"/>
          <w:highlight w:val="none"/>
          <w:lang w:eastAsia="zh-CN"/>
        </w:rPr>
        <w:t>光弘科技独立董事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0"/>
          <w:highlight w:val="none"/>
          <w:lang w:val="en-US" w:eastAsia="zh-CN"/>
        </w:rPr>
        <w:t>，你的母亲上述交易“光弘科技”股票的行为违反了《中华人民共和国证券法》（以下简称《证券法》）第四十四条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第一款、第二款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的规定，构成短线交易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0"/>
          <w:highlight w:val="none"/>
          <w:lang w:val="en-US" w:eastAsia="zh-CN"/>
        </w:rPr>
        <w:t>。根据《证券法》第一百七十条第二款的规定，我局决定对你采取出具警示函的行政监管措施。</w:t>
      </w:r>
      <w:r>
        <w:rPr>
          <w:rFonts w:hint="eastAsia" w:ascii="仿宋_GB2312" w:hAnsi="仿宋_GB2312" w:eastAsia="仿宋_GB2312" w:cs="Times New Roman"/>
          <w:kern w:val="0"/>
          <w:sz w:val="32"/>
          <w:szCs w:val="20"/>
          <w:highlight w:val="none"/>
        </w:rPr>
        <w:t>你应</w:t>
      </w:r>
      <w:r>
        <w:rPr>
          <w:rFonts w:hint="eastAsia" w:ascii="仿宋_GB2312" w:hAnsi="仿宋_GB2312" w:eastAsia="仿宋_GB2312" w:cs="Times New Roman"/>
          <w:kern w:val="0"/>
          <w:sz w:val="32"/>
          <w:szCs w:val="20"/>
          <w:highlight w:val="none"/>
          <w:lang w:eastAsia="zh-CN"/>
        </w:rPr>
        <w:t>当引以为戒，</w:t>
      </w:r>
      <w:r>
        <w:rPr>
          <w:rFonts w:hint="eastAsia" w:ascii="仿宋_GB2312" w:hAnsi="仿宋_GB2312" w:eastAsia="仿宋_GB2312" w:cs="Times New Roman"/>
          <w:kern w:val="0"/>
          <w:sz w:val="32"/>
          <w:szCs w:val="20"/>
          <w:highlight w:val="none"/>
        </w:rPr>
        <w:t>认真吸取教训，</w:t>
      </w:r>
      <w:r>
        <w:rPr>
          <w:rFonts w:hint="eastAsia" w:ascii="仿宋_GB2312" w:hAnsi="仿宋_GB2312" w:eastAsia="仿宋_GB2312" w:cs="Times New Roman"/>
          <w:kern w:val="0"/>
          <w:sz w:val="32"/>
          <w:szCs w:val="20"/>
          <w:highlight w:val="none"/>
          <w:lang w:eastAsia="zh-CN"/>
        </w:rPr>
        <w:t>本人及直系亲属应切实加强对</w:t>
      </w:r>
      <w:r>
        <w:rPr>
          <w:rFonts w:hint="eastAsia" w:ascii="仿宋_GB2312" w:hAnsi="仿宋_GB2312" w:eastAsia="仿宋_GB2312" w:cs="Times New Roman"/>
          <w:kern w:val="0"/>
          <w:sz w:val="32"/>
          <w:szCs w:val="20"/>
          <w:highlight w:val="none"/>
        </w:rPr>
        <w:t>证券法律法规</w:t>
      </w:r>
      <w:r>
        <w:rPr>
          <w:rFonts w:hint="eastAsia" w:ascii="仿宋_GB2312" w:hAnsi="仿宋_GB2312" w:eastAsia="仿宋_GB2312" w:cs="Times New Roman"/>
          <w:kern w:val="0"/>
          <w:sz w:val="32"/>
          <w:szCs w:val="20"/>
          <w:highlight w:val="none"/>
          <w:lang w:eastAsia="zh-CN"/>
        </w:rPr>
        <w:t>的学习</w:t>
      </w:r>
      <w:r>
        <w:rPr>
          <w:rFonts w:hint="eastAsia" w:ascii="仿宋_GB2312" w:hAnsi="仿宋_GB2312" w:eastAsia="仿宋_GB2312" w:cs="Times New Roman"/>
          <w:kern w:val="0"/>
          <w:sz w:val="32"/>
          <w:szCs w:val="20"/>
          <w:highlight w:val="none"/>
        </w:rPr>
        <w:t>，严格规范</w:t>
      </w:r>
      <w:r>
        <w:rPr>
          <w:rFonts w:hint="eastAsia" w:ascii="仿宋_GB2312" w:hAnsi="仿宋_GB2312" w:eastAsia="仿宋_GB2312" w:cs="Times New Roman"/>
          <w:kern w:val="0"/>
          <w:sz w:val="32"/>
          <w:szCs w:val="20"/>
          <w:highlight w:val="none"/>
          <w:lang w:eastAsia="zh-CN"/>
        </w:rPr>
        <w:t>交易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行为，杜绝此类违规行为再次发生。</w:t>
      </w:r>
    </w:p>
    <w:p>
      <w:pPr>
        <w:widowControl w:val="0"/>
        <w:wordWrap/>
        <w:overflowPunct w:val="0"/>
        <w:adjustRightInd w:val="0"/>
        <w:snapToGrid w:val="0"/>
        <w:spacing w:line="336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如果对本监督管理措施不服，可以在收到本决定书之日起60日内向中国证券监督管理委员会提出行政复议申请；也可以在收到本决定书之日起6个月内向有管辖权的人民法院提起诉讼。复议与诉讼期间，上述监督管理措施不停止执行。</w:t>
      </w:r>
    </w:p>
    <w:p>
      <w:pPr>
        <w:pStyle w:val="13"/>
        <w:widowControl w:val="0"/>
        <w:overflowPunct w:val="0"/>
        <w:snapToGrid w:val="0"/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广东证监局</w:t>
      </w:r>
    </w:p>
    <w:p>
      <w:pPr>
        <w:widowControl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="0" w:afterLines="0" w:line="360" w:lineRule="auto"/>
        <w:ind w:firstLine="0"/>
        <w:jc w:val="center"/>
        <w:outlineLvl w:val="9"/>
        <w:rPr>
          <w:rFonts w:hint="eastAsia" w:ascii="仿宋_GB2312" w:eastAsia="仿宋_GB2312"/>
          <w:spacing w:val="8"/>
          <w:sz w:val="2"/>
          <w:szCs w:val="2"/>
        </w:rPr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/>
        </w:rPr>
        <w:t>13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24"/>
          <w:szCs w:val="16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textAlignment w:val="auto"/>
        <w:rPr>
          <w:rFonts w:ascii="长城仿宋" w:eastAsia="长城仿宋"/>
          <w:sz w:val="28"/>
        </w:rPr>
      </w:pPr>
      <w:r>
        <w:rPr>
          <w:rFonts w:hint="eastAsia" w:ascii="仿宋_GB2312" w:eastAsia="仿宋_GB2312"/>
          <w:spacing w:val="8"/>
          <w:sz w:val="28"/>
        </w:rPr>
        <w:t>抄送：证监会上市司、法治司；深圳证券交易所。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jc w:val="left"/>
        <w:textAlignment w:val="auto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    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   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default" w:ascii="仿宋_GB2312" w:eastAsia="仿宋_GB2312"/>
          <w:spacing w:val="8"/>
          <w:sz w:val="28"/>
          <w:lang w:val="en" w:eastAsia="zh-CN"/>
        </w:rPr>
        <w:t>202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5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default" w:ascii="仿宋_GB2312" w:eastAsia="仿宋_GB2312"/>
          <w:spacing w:val="8"/>
          <w:sz w:val="28"/>
          <w:lang w:val="en-US"/>
        </w:rPr>
        <w:t>3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/>
        </w:rPr>
        <w:t>13</w:t>
      </w:r>
      <w:r>
        <w:rPr>
          <w:rFonts w:hint="eastAsia" w:ascii="仿宋_GB2312" w:eastAsia="仿宋_GB2312"/>
          <w:spacing w:val="8"/>
          <w:sz w:val="28"/>
        </w:rPr>
        <w:t>日印发</w:t>
      </w:r>
    </w:p>
    <w:p>
      <w:pPr>
        <w:keepNext w:val="0"/>
        <w:keepLines w:val="0"/>
        <w:pageBreakBefore w:val="0"/>
        <w:widowControl w:val="0"/>
        <w:pBdr>
          <w:top w:val="single" w:color="auto" w:sz="8" w:space="7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firstLine="0"/>
        <w:jc w:val="left"/>
        <w:textAlignment w:val="auto"/>
        <w:rPr>
          <w:rFonts w:hint="eastAsia" w:ascii="仿宋_GB2312" w:eastAsia="仿宋_GB2312"/>
          <w:spacing w:val="8"/>
          <w:sz w:val="2"/>
          <w:szCs w:val="2"/>
        </w:rPr>
      </w:pPr>
    </w:p>
    <w:bookmarkEnd w:id="0"/>
    <w:p>
      <w:pPr>
        <w:widowControl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="0" w:afterLines="0" w:line="360" w:lineRule="auto"/>
        <w:ind w:firstLine="0"/>
        <w:jc w:val="both"/>
        <w:outlineLvl w:val="9"/>
        <w:rPr>
          <w:rFonts w:hint="eastAsia" w:ascii="仿宋_GB2312" w:eastAsia="仿宋_GB2312"/>
          <w:spacing w:val="8"/>
          <w:sz w:val="2"/>
          <w:szCs w:val="2"/>
        </w:rPr>
      </w:pPr>
    </w:p>
    <w:sectPr>
      <w:headerReference r:id="rId3" w:type="default"/>
      <w:footerReference r:id="rId4" w:type="default"/>
      <w:pgSz w:w="11906" w:h="16838"/>
      <w:pgMar w:top="2097" w:right="1474" w:bottom="1984" w:left="1587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CAGKDB+CESI_FS_GB18030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仿宋">
    <w:altName w:val="宋体"/>
    <w:panose1 w:val="02010609000101010101"/>
    <w:charset w:val="00"/>
    <w:family w:val="modern"/>
    <w:pitch w:val="default"/>
    <w:sig w:usb0="00000000" w:usb1="00000000" w:usb2="00000010" w:usb3="00000000" w:csb0="00040000" w:csb1="00000000"/>
  </w:font>
  <w:font w:name="CAGKDB+CESI_FS_GB18030">
    <w:altName w:val="宋体"/>
    <w:panose1 w:val="02000500000000000000"/>
    <w:charset w:val="86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Align="top"/>
    </w:pPr>
    <w:r>
      <w:rPr>
        <w:rFonts w:hint="eastAsia" w:ascii="宋体" w:hAnsi="宋体"/>
        <w:sz w:val="28"/>
      </w:rPr>
      <w:fldChar w:fldCharType="begin"/>
    </w:r>
    <w:r>
      <w:rPr>
        <w:rStyle w:val="11"/>
        <w:rFonts w:hint="eastAsia" w:ascii="宋体" w:hAnsi="宋体"/>
        <w:sz w:val="28"/>
      </w:rPr>
      <w:instrText xml:space="preserve"> PAGE  </w:instrText>
    </w:r>
    <w:r>
      <w:rPr>
        <w:rFonts w:hint="eastAsia" w:ascii="宋体" w:hAnsi="宋体"/>
        <w:sz w:val="28"/>
      </w:rPr>
      <w:fldChar w:fldCharType="separate"/>
    </w:r>
    <w:r>
      <w:rPr>
        <w:rStyle w:val="11"/>
        <w:rFonts w:ascii="宋体" w:hAnsi="宋体"/>
        <w:sz w:val="28"/>
      </w:rPr>
      <w:t>- 1 -</w:t>
    </w:r>
    <w:r>
      <w:rPr>
        <w:rFonts w:hint="eastAsia" w:ascii="宋体" w:hAnsi="宋体"/>
        <w:sz w:val="28"/>
      </w:rP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F433C"/>
    <w:rsid w:val="0B9F7233"/>
    <w:rsid w:val="2F7FBAC6"/>
    <w:rsid w:val="36B5BA84"/>
    <w:rsid w:val="4709C07A"/>
    <w:rsid w:val="4E571BAD"/>
    <w:rsid w:val="577B93B0"/>
    <w:rsid w:val="5EFB53D2"/>
    <w:rsid w:val="5F7F433C"/>
    <w:rsid w:val="5FFF1BF6"/>
    <w:rsid w:val="6F551FEB"/>
    <w:rsid w:val="7BDDF42F"/>
    <w:rsid w:val="7CF363AF"/>
    <w:rsid w:val="7D8F4C71"/>
    <w:rsid w:val="7DFBC11F"/>
    <w:rsid w:val="7F4E96D5"/>
    <w:rsid w:val="7F73A1AC"/>
    <w:rsid w:val="7FDFD18B"/>
    <w:rsid w:val="9FF9FAB1"/>
    <w:rsid w:val="BF7F1F03"/>
    <w:rsid w:val="D7BDDAF8"/>
    <w:rsid w:val="E2F5F2DD"/>
    <w:rsid w:val="F6FB2D57"/>
    <w:rsid w:val="F9EF466B"/>
    <w:rsid w:val="FDCF3405"/>
    <w:rsid w:val="FDFF689E"/>
    <w:rsid w:val="FEFE26E4"/>
    <w:rsid w:val="FFFBD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spacing w:beforeAutospacing="0" w:after="0" w:afterAutospacing="0"/>
      <w:jc w:val="left"/>
      <w:outlineLvl w:val="0"/>
    </w:pPr>
    <w:rPr>
      <w:rFonts w:hint="eastAsia" w:ascii="宋体" w:hAnsi="宋体" w:eastAsia="黑体" w:cs="宋体"/>
      <w:bCs/>
      <w:color w:val="000000"/>
      <w:kern w:val="44"/>
      <w:szCs w:val="48"/>
      <w:shd w:val="clear" w:color="auto" w:fill="auto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Autospacing="0" w:line="336" w:lineRule="auto"/>
      <w:outlineLvl w:val="1"/>
    </w:pPr>
    <w:rPr>
      <w:rFonts w:ascii="Arial" w:hAnsi="Arial" w:eastAsia="楷体_GB2312"/>
      <w:b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36" w:lineRule="auto"/>
      <w:outlineLvl w:val="2"/>
    </w:pPr>
    <w:rPr>
      <w:b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36" w:lineRule="auto"/>
      <w:outlineLvl w:val="3"/>
    </w:pPr>
    <w:rPr>
      <w:rFonts w:ascii="仿宋_GB2312" w:hAnsi="仿宋_GB2312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spacing w:line="240" w:lineRule="auto"/>
      <w:ind w:firstLine="420"/>
      <w:jc w:val="both"/>
      <w:textAlignment w:val="baseline"/>
    </w:pPr>
    <w:rPr>
      <w:rFonts w:ascii="宋体" w:hAnsi="Calibri"/>
      <w:kern w:val="0"/>
      <w:sz w:val="21"/>
      <w:szCs w:val="24"/>
      <w:lang w:val="en-US" w:eastAsia="zh-CN" w:bidi="ar-SA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标题 1 Char"/>
    <w:link w:val="3"/>
    <w:qFormat/>
    <w:uiPriority w:val="0"/>
    <w:rPr>
      <w:rFonts w:ascii="宋体" w:hAnsi="宋体" w:eastAsia="黑体" w:cs="宋体"/>
      <w:kern w:val="44"/>
      <w:sz w:val="32"/>
    </w:rPr>
  </w:style>
  <w:style w:type="paragraph" w:customStyle="1" w:styleId="13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14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2025-03-05T22:05:00Z</dcterms:created>
  <dc:creator>李嘉</dc:creator>
  <cp:lastModifiedBy>李嘉</cp:lastModifiedBy>
  <cp:lastPrinted>2025-03-05T15:28:00Z</cp:lastPrinted>
  <dcterms:modified xsi:type="dcterms:W3CDTF">2025-03-17T15:25:39Z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D2A8DA1B8A3B9D5973CED7676B9F2080</vt:lpwstr>
  </property>
</Properties>
</file>