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w:t>
      </w:r>
      <w:r>
        <w:rPr>
          <w:rFonts w:hint="default" w:ascii="仿宋_GB2312" w:eastAsia="仿宋_GB2312" w:cs="Times New Roman"/>
          <w:color w:val="000000"/>
          <w:spacing w:val="12"/>
          <w:sz w:val="28"/>
          <w:lang w:val="en-US"/>
        </w:rPr>
        <w:t>25</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MwvtZLWAAAA&#10;CAEAAA8AAAAAAAAAAQAgAAAAOAAAAGRycy9kb3ducmV2LnhtbFBLAQIUABQAAAAIAIdO4kAPjv5j&#10;/QEAAPUDAAAOAAAAAAAAAAEAIAAAADsBAABkcnMvZTJvRG9jLnhtbFBLAQIUAAoAAAAAAIdO4kAA&#10;AAAAAAAAAAAAAAAEAAAAAAAAAAAAEAAAABYAAABkcnMvUEsBAhQACgAAAAAAh07iQAAAAAAAAAAA&#10;AAAAAAYAAAAAAAAAAAAQAAAAZAMAAF9yZWxzL1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pStyle w:val="4"/>
        <w:widowControl/>
        <w:pBdr>
          <w:bottom w:val="none" w:color="auto" w:sz="0" w:space="0"/>
        </w:pBdr>
        <w:adjustRightInd w:val="0"/>
        <w:snapToGrid w:val="0"/>
        <w:spacing w:beforeLines="0" w:afterLines="0" w:line="240" w:lineRule="auto"/>
        <w:jc w:val="center"/>
        <w:rPr>
          <w:rFonts w:hint="eastAsia" w:ascii="方正小标宋简体" w:hAnsi="方正小标宋简体" w:eastAsia="方正小标宋简体" w:cs="方正小标宋简体"/>
          <w:kern w:val="0"/>
          <w:sz w:val="44"/>
          <w:lang w:val="en-US" w:eastAsia="zh-CN"/>
        </w:rPr>
      </w:pPr>
      <w:bookmarkStart w:id="0" w:name="quanwen"/>
      <w:r>
        <w:rPr>
          <w:rFonts w:hint="eastAsia" w:ascii="方正小标宋简体" w:hAnsi="方正小标宋简体" w:eastAsia="方正小标宋简体" w:cs="方正小标宋简体"/>
          <w:kern w:val="0"/>
          <w:sz w:val="44"/>
          <w:lang w:val="en-US" w:eastAsia="zh-CN"/>
        </w:rPr>
        <w:t>关于对立信会计师事务所、徐冬冬、蒋玉龙</w:t>
      </w:r>
    </w:p>
    <w:p>
      <w:pPr>
        <w:pStyle w:val="4"/>
        <w:widowControl/>
        <w:pBdr>
          <w:bottom w:val="none" w:color="auto" w:sz="0" w:space="0"/>
        </w:pBdr>
        <w:adjustRightInd w:val="0"/>
        <w:snapToGrid w:val="0"/>
        <w:spacing w:beforeLines="0" w:afterLines="0" w:line="240" w:lineRule="auto"/>
        <w:jc w:val="center"/>
        <w:rPr>
          <w:rFonts w:hint="eastAsia" w:ascii="方正小标宋简体" w:hAnsi="方正小标宋简体" w:eastAsia="方正小标宋简体" w:cs="方正小标宋简体"/>
          <w:kern w:val="0"/>
          <w:sz w:val="44"/>
          <w:lang w:val="en-US" w:eastAsia="zh-CN"/>
        </w:rPr>
      </w:pPr>
      <w:bookmarkStart w:id="1" w:name="_GoBack"/>
      <w:r>
        <w:rPr>
          <w:rFonts w:hint="eastAsia" w:ascii="方正小标宋简体" w:hAnsi="方正小标宋简体" w:eastAsia="方正小标宋简体" w:cs="方正小标宋简体"/>
          <w:kern w:val="0"/>
          <w:sz w:val="44"/>
          <w:lang w:val="en-US" w:eastAsia="zh-CN"/>
        </w:rPr>
        <w:t>采取出具警示函措施的决定</w:t>
      </w:r>
      <w:bookmarkEnd w:id="1"/>
    </w:p>
    <w:p>
      <w:pPr>
        <w:adjustRightInd w:val="0"/>
        <w:snapToGrid w:val="0"/>
        <w:spacing w:beforeLines="0" w:afterLines="0" w:line="240" w:lineRule="auto"/>
        <w:rPr>
          <w:rFonts w:hint="eastAsia" w:ascii="方正小标宋简体" w:hAnsi="方正小标宋简体" w:eastAsia="方正小标宋简体" w:cs="方正小标宋简体"/>
          <w:spacing w:val="8"/>
          <w:kern w:val="0"/>
          <w:sz w:val="32"/>
        </w:rPr>
      </w:pPr>
    </w:p>
    <w:p>
      <w:pPr>
        <w:widowControl w:val="0"/>
        <w:wordWrap/>
        <w:overflowPunct w:val="0"/>
        <w:adjustRightInd w:val="0"/>
        <w:snapToGrid w:val="0"/>
        <w:spacing w:before="0" w:beforeLines="0" w:after="0" w:afterLines="0" w:line="348" w:lineRule="auto"/>
        <w:ind w:left="0" w:leftChars="0" w:right="0" w:firstLine="0" w:firstLineChars="0"/>
        <w:jc w:val="both"/>
        <w:textAlignment w:val="auto"/>
        <w:outlineLvl w:val="9"/>
        <w:rPr>
          <w:rFonts w:hint="eastAsia" w:ascii="仿宋_GB2312" w:hAnsi="仿宋_GB2312" w:eastAsia="仿宋_GB2312"/>
          <w:color w:val="000000"/>
          <w:spacing w:val="0"/>
          <w:sz w:val="32"/>
          <w:highlight w:val="none"/>
          <w:lang w:val="en-US" w:eastAsia="zh-CN"/>
        </w:rPr>
      </w:pPr>
      <w:r>
        <w:rPr>
          <w:rFonts w:hint="eastAsia" w:ascii="仿宋_GB2312" w:hAnsi="仿宋_GB2312" w:eastAsia="仿宋_GB2312"/>
          <w:color w:val="000000"/>
          <w:spacing w:val="0"/>
          <w:sz w:val="32"/>
          <w:highlight w:val="none"/>
          <w:lang w:val="en-US" w:eastAsia="zh-CN"/>
        </w:rPr>
        <w:t>立信会计师事务所（特殊普通合伙）、徐冬冬、蒋玉龙：</w:t>
      </w:r>
    </w:p>
    <w:p>
      <w:pPr>
        <w:widowControl w:val="0"/>
        <w:wordWrap/>
        <w:overflowPunct w:val="0"/>
        <w:adjustRightInd w:val="0"/>
        <w:snapToGrid w:val="0"/>
        <w:spacing w:before="0" w:beforeLines="0" w:after="0" w:afterLines="0" w:line="348" w:lineRule="auto"/>
        <w:ind w:left="0" w:leftChars="0" w:right="0" w:firstLine="640" w:firstLineChars="0"/>
        <w:jc w:val="both"/>
        <w:textAlignment w:val="auto"/>
        <w:outlineLvl w:val="9"/>
        <w:rPr>
          <w:rFonts w:hint="eastAsia" w:ascii="仿宋_GB2312" w:hAnsi="仿宋_GB2312" w:eastAsia="仿宋_GB2312"/>
          <w:color w:val="000000"/>
          <w:spacing w:val="0"/>
          <w:sz w:val="32"/>
          <w:szCs w:val="22"/>
        </w:rPr>
      </w:pPr>
      <w:r>
        <w:rPr>
          <w:rFonts w:hint="eastAsia" w:ascii="仿宋_GB2312" w:hAnsi="仿宋_GB2312" w:eastAsia="仿宋_GB2312"/>
          <w:color w:val="000000"/>
          <w:spacing w:val="0"/>
          <w:sz w:val="32"/>
          <w:highlight w:val="none"/>
          <w:lang w:val="en-US" w:eastAsia="zh-CN"/>
        </w:rPr>
        <w:t>依据《中华人民共和国证券法》的有关规定，我局对立信会计师事务所(特殊普通合伙，以下简称立信所）</w:t>
      </w:r>
      <w:r>
        <w:rPr>
          <w:rFonts w:hint="default" w:ascii="仿宋_GB2312" w:hAnsi="仿宋_GB2312" w:eastAsia="仿宋_GB2312"/>
          <w:color w:val="000000"/>
          <w:spacing w:val="0"/>
          <w:sz w:val="32"/>
          <w:highlight w:val="none"/>
          <w:lang w:val="en" w:eastAsia="zh-CN"/>
        </w:rPr>
        <w:t>执</w:t>
      </w:r>
      <w:r>
        <w:rPr>
          <w:rFonts w:hint="eastAsia" w:ascii="仿宋_GB2312" w:hAnsi="仿宋_GB2312" w:eastAsia="仿宋_GB2312"/>
          <w:color w:val="000000"/>
          <w:spacing w:val="0"/>
          <w:sz w:val="32"/>
          <w:highlight w:val="none"/>
          <w:lang w:val="en" w:eastAsia="zh-CN"/>
        </w:rPr>
        <w:t>业的广东联泰环保</w:t>
      </w:r>
      <w:r>
        <w:rPr>
          <w:rFonts w:hint="eastAsia" w:ascii="仿宋_GB2312" w:hAnsi="仿宋_GB2312" w:eastAsia="仿宋_GB2312"/>
          <w:color w:val="000000"/>
          <w:spacing w:val="0"/>
          <w:sz w:val="32"/>
          <w:highlight w:val="none"/>
          <w:lang w:val="en-US" w:eastAsia="zh-CN"/>
        </w:rPr>
        <w:t>股份有限公司（以下简称联泰环保）2022年年报</w:t>
      </w:r>
      <w:r>
        <w:rPr>
          <w:rFonts w:hint="default" w:ascii="仿宋_GB2312" w:hAnsi="仿宋_GB2312" w:eastAsia="仿宋_GB2312"/>
          <w:color w:val="000000"/>
          <w:spacing w:val="0"/>
          <w:sz w:val="32"/>
          <w:highlight w:val="none"/>
          <w:lang w:val="en" w:eastAsia="zh-CN"/>
        </w:rPr>
        <w:t>审计工作</w:t>
      </w:r>
      <w:r>
        <w:rPr>
          <w:rFonts w:hint="eastAsia" w:ascii="仿宋_GB2312" w:hAnsi="仿宋_GB2312" w:eastAsia="仿宋_GB2312"/>
          <w:color w:val="000000"/>
          <w:spacing w:val="0"/>
          <w:sz w:val="32"/>
          <w:highlight w:val="none"/>
          <w:lang w:val="en-US" w:eastAsia="zh-CN"/>
        </w:rPr>
        <w:t>进行了核查。</w:t>
      </w:r>
      <w:r>
        <w:rPr>
          <w:rFonts w:hint="eastAsia" w:ascii="仿宋_GB2312" w:hAnsi="仿宋_GB2312" w:eastAsia="仿宋_GB2312"/>
          <w:color w:val="000000"/>
          <w:spacing w:val="0"/>
          <w:sz w:val="32"/>
          <w:szCs w:val="22"/>
          <w:lang w:eastAsia="zh-CN"/>
        </w:rPr>
        <w:t>经查，立信所审计执业存在以下问题</w:t>
      </w:r>
      <w:r>
        <w:rPr>
          <w:rFonts w:hint="eastAsia" w:ascii="仿宋_GB2312" w:hAnsi="仿宋_GB2312" w:eastAsia="仿宋_GB2312"/>
          <w:color w:val="000000"/>
          <w:spacing w:val="0"/>
          <w:sz w:val="32"/>
          <w:szCs w:val="22"/>
        </w:rPr>
        <w:t>：</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48" w:lineRule="auto"/>
        <w:ind w:left="0" w:leftChars="0" w:right="0" w:firstLine="640" w:firstLineChars="200"/>
        <w:jc w:val="both"/>
        <w:textAlignment w:val="auto"/>
        <w:outlineLvl w:val="9"/>
        <w:rPr>
          <w:rFonts w:hint="eastAsia" w:ascii="仿宋_GB2312" w:hAnsi="仿宋_GB2312" w:eastAsia="仿宋_GB2312"/>
          <w:color w:val="000000"/>
          <w:spacing w:val="0"/>
          <w:sz w:val="32"/>
          <w:highlight w:val="none"/>
          <w:lang w:val="en-US" w:eastAsia="zh-CN"/>
        </w:rPr>
      </w:pPr>
      <w:r>
        <w:rPr>
          <w:rFonts w:hint="eastAsia" w:ascii="黑体" w:hAnsi="黑体" w:eastAsia="黑体" w:cs="黑体"/>
          <w:color w:val="000000"/>
          <w:spacing w:val="0"/>
          <w:sz w:val="32"/>
          <w:szCs w:val="22"/>
          <w:lang w:val="en-US" w:eastAsia="zh-CN"/>
        </w:rPr>
        <w:t>一、风险评估程序存在缺陷。</w:t>
      </w:r>
      <w:r>
        <w:rPr>
          <w:rFonts w:hint="eastAsia" w:ascii="仿宋_GB2312" w:hAnsi="仿宋_GB2312" w:eastAsia="仿宋_GB2312"/>
          <w:color w:val="000000"/>
          <w:spacing w:val="0"/>
          <w:sz w:val="32"/>
          <w:highlight w:val="none"/>
          <w:lang w:val="en-US" w:eastAsia="zh-CN"/>
        </w:rPr>
        <w:t>立信所关注到联泰环保通过其他应收款科目核算关联方资金占用，但未将其他应收款相关认定识别为重大错报风险，上述情形不符合《中国注册会计师审计准则第1211号——通过了解被审计单位及其环境识别和评估重大错报风险》（2019年修订）</w:t>
      </w:r>
      <w:r>
        <w:rPr>
          <w:rFonts w:hint="eastAsia" w:ascii="仿宋_GB2312" w:hAnsi="仿宋_GB2312" w:eastAsia="仿宋_GB2312"/>
          <w:color w:val="auto"/>
          <w:spacing w:val="0"/>
          <w:sz w:val="32"/>
          <w:highlight w:val="none"/>
          <w:lang w:val="en-US" w:eastAsia="zh-CN"/>
        </w:rPr>
        <w:t>第三十四条</w:t>
      </w:r>
      <w:r>
        <w:rPr>
          <w:rFonts w:hint="eastAsia" w:ascii="仿宋_GB2312" w:hAnsi="仿宋_GB2312" w:eastAsia="仿宋_GB2312"/>
          <w:color w:val="000000"/>
          <w:spacing w:val="0"/>
          <w:sz w:val="32"/>
          <w:highlight w:val="none"/>
          <w:lang w:val="en-US" w:eastAsia="zh-CN"/>
        </w:rPr>
        <w:t>的规定。</w:t>
      </w:r>
    </w:p>
    <w:p>
      <w:pPr>
        <w:pStyle w:val="2"/>
        <w:keepNext w:val="0"/>
        <w:keepLines w:val="0"/>
        <w:pageBreakBefore w:val="0"/>
        <w:widowControl w:val="0"/>
        <w:kinsoku/>
        <w:wordWrap/>
        <w:overflowPunct w:val="0"/>
        <w:topLinePunct w:val="0"/>
        <w:autoSpaceDE/>
        <w:autoSpaceDN/>
        <w:bidi w:val="0"/>
        <w:adjustRightInd w:val="0"/>
        <w:snapToGrid w:val="0"/>
        <w:spacing w:beforeLines="0" w:afterLines="0" w:line="348" w:lineRule="auto"/>
        <w:ind w:firstLine="640" w:firstLineChars="200"/>
        <w:textAlignment w:val="baseline"/>
        <w:rPr>
          <w:rFonts w:hint="eastAsia" w:ascii="仿宋_GB2312" w:hAnsi="仿宋_GB2312" w:eastAsia="仿宋_GB2312" w:cs="Times New Roman"/>
          <w:kern w:val="2"/>
          <w:sz w:val="32"/>
          <w:szCs w:val="20"/>
          <w:highlight w:val="yellow"/>
          <w:lang w:val="en-US" w:eastAsia="zh-CN" w:bidi="ar-SA"/>
        </w:rPr>
      </w:pPr>
      <w:r>
        <w:rPr>
          <w:rFonts w:hint="eastAsia" w:ascii="黑体" w:hAnsi="黑体" w:eastAsia="黑体" w:cs="黑体"/>
          <w:color w:val="000000"/>
          <w:spacing w:val="0"/>
          <w:kern w:val="2"/>
          <w:sz w:val="32"/>
          <w:szCs w:val="22"/>
          <w:highlight w:val="none"/>
          <w:lang w:val="en-US" w:eastAsia="zh-CN" w:bidi="ar-SA"/>
        </w:rPr>
        <w:t>二、实质性程序存在不足。</w:t>
      </w:r>
      <w:r>
        <w:rPr>
          <w:rFonts w:hint="eastAsia" w:ascii="仿宋_GB2312" w:hAnsi="仿宋_GB2312" w:eastAsia="仿宋_GB2312" w:cs="Times New Roman"/>
          <w:b/>
          <w:bCs/>
          <w:color w:val="000000"/>
          <w:spacing w:val="0"/>
          <w:kern w:val="2"/>
          <w:sz w:val="32"/>
          <w:szCs w:val="20"/>
          <w:highlight w:val="none"/>
          <w:lang w:val="en-US" w:eastAsia="zh-CN" w:bidi="ar-SA"/>
        </w:rPr>
        <w:t>一是</w:t>
      </w:r>
      <w:r>
        <w:rPr>
          <w:rFonts w:hint="eastAsia" w:ascii="仿宋_GB2312" w:hAnsi="仿宋_GB2312" w:eastAsia="仿宋_GB2312" w:cs="Times New Roman"/>
          <w:kern w:val="2"/>
          <w:sz w:val="32"/>
          <w:szCs w:val="20"/>
          <w:highlight w:val="none"/>
          <w:lang w:val="en-US" w:eastAsia="zh-CN" w:bidi="ar-SA"/>
        </w:rPr>
        <w:t>立信所在进行其他应收款凭证测试程序时，未获取充分的审计证据验证商业合理性。</w:t>
      </w:r>
      <w:r>
        <w:rPr>
          <w:rFonts w:hint="eastAsia" w:ascii="仿宋_GB2312" w:hAnsi="仿宋_GB2312" w:eastAsia="仿宋_GB2312" w:cs="Times New Roman"/>
          <w:b/>
          <w:bCs/>
          <w:kern w:val="2"/>
          <w:sz w:val="32"/>
          <w:szCs w:val="20"/>
          <w:highlight w:val="none"/>
          <w:lang w:val="en-US" w:eastAsia="zh-CN" w:bidi="ar-SA"/>
        </w:rPr>
        <w:t>二是</w:t>
      </w:r>
      <w:r>
        <w:rPr>
          <w:rFonts w:hint="eastAsia" w:ascii="仿宋_GB2312" w:hAnsi="仿宋_GB2312" w:eastAsia="仿宋_GB2312" w:cs="Times New Roman"/>
          <w:kern w:val="2"/>
          <w:sz w:val="32"/>
          <w:szCs w:val="20"/>
          <w:highlight w:val="none"/>
          <w:lang w:val="en-US" w:eastAsia="zh-CN" w:bidi="ar-SA"/>
        </w:rPr>
        <w:t>立信所在发现管理层未履行必要的审批流程就通过第三方企业将资金划转至关联方、资金回款周期明显异常的情况下，未对同一年度公司其他大额资金往来保持充分职业怀疑，未考虑管理层诚信程度的变化，其</w:t>
      </w:r>
      <w:r>
        <w:rPr>
          <w:rFonts w:hint="eastAsia" w:ascii="仿宋_GB2312" w:hAnsi="仿宋_GB2312" w:eastAsia="仿宋_GB2312" w:cs="Times New Roman"/>
          <w:color w:val="auto"/>
          <w:kern w:val="2"/>
          <w:sz w:val="32"/>
          <w:szCs w:val="20"/>
          <w:highlight w:val="none"/>
          <w:lang w:val="en-US" w:eastAsia="zh-CN" w:bidi="ar-SA"/>
        </w:rPr>
        <w:t>设计和实施的审计程序不足以获取充分、适当的审计证据。上述</w:t>
      </w:r>
      <w:r>
        <w:rPr>
          <w:rFonts w:hint="eastAsia" w:ascii="仿宋_GB2312" w:hAnsi="仿宋_GB2312" w:eastAsia="仿宋_GB2312" w:cs="Times New Roman"/>
          <w:kern w:val="2"/>
          <w:sz w:val="32"/>
          <w:szCs w:val="20"/>
          <w:highlight w:val="none"/>
          <w:lang w:val="en-US" w:eastAsia="zh-CN" w:bidi="ar-SA"/>
        </w:rPr>
        <w:t>情形不符合《中国注册会计师审计准则第1141号——财务报表审计中与舞弊相关的责任》（2019年修订）第十三条及第三十一条、《中国注册会计师审计准则第1301号——审计证据》（2016年修订）第十条的规定。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48" w:lineRule="auto"/>
        <w:ind w:right="0" w:firstLine="640" w:firstLineChars="200"/>
        <w:jc w:val="both"/>
        <w:textAlignment w:val="auto"/>
        <w:outlineLvl w:val="9"/>
        <w:rPr>
          <w:rFonts w:hint="default" w:ascii="仿宋_GB2312" w:hAnsi="仿宋_GB2312" w:eastAsia="仿宋_GB2312" w:cs="Times New Roman"/>
          <w:sz w:val="32"/>
          <w:szCs w:val="20"/>
          <w:lang w:val="en-US" w:eastAsia="zh-CN"/>
        </w:rPr>
      </w:pPr>
      <w:r>
        <w:rPr>
          <w:rFonts w:hint="eastAsia" w:ascii="仿宋_GB2312" w:hAnsi="仿宋_GB2312" w:eastAsia="仿宋_GB2312" w:cs="Times New Roman"/>
          <w:sz w:val="32"/>
          <w:szCs w:val="20"/>
          <w:lang w:val="en-US" w:eastAsia="zh-CN"/>
        </w:rPr>
        <w:t>立信所的上述行为不符合</w:t>
      </w:r>
      <w:r>
        <w:rPr>
          <w:rFonts w:hint="eastAsia" w:ascii="仿宋_GB2312" w:hAnsi="仿宋_GB2312" w:eastAsia="仿宋_GB2312" w:cs="仿宋_GB2312"/>
          <w:b w:val="0"/>
          <w:bCs w:val="0"/>
          <w:kern w:val="2"/>
          <w:sz w:val="32"/>
          <w:szCs w:val="32"/>
          <w:lang w:val="en-US" w:eastAsia="zh-CN" w:bidi="ar-SA"/>
        </w:rPr>
        <w:t>中国注册会计师执业准则的有关要求，</w:t>
      </w:r>
      <w:r>
        <w:rPr>
          <w:rFonts w:hint="eastAsia" w:ascii="仿宋_GB2312" w:hAnsi="仿宋_GB2312" w:eastAsia="仿宋_GB2312" w:cs="Times New Roman"/>
          <w:sz w:val="32"/>
          <w:szCs w:val="20"/>
          <w:lang w:val="en-US" w:eastAsia="zh-CN"/>
        </w:rPr>
        <w:t>违反了《上市公司信息披露管理办法》（证监会令第182号，下同）</w:t>
      </w:r>
      <w:r>
        <w:rPr>
          <w:rFonts w:hint="eastAsia" w:ascii="仿宋_GB2312" w:hAnsi="仿宋_GB2312" w:eastAsia="仿宋_GB2312" w:cs="Times New Roman"/>
          <w:color w:val="auto"/>
          <w:sz w:val="32"/>
          <w:szCs w:val="20"/>
          <w:highlight w:val="none"/>
          <w:lang w:val="en-US" w:eastAsia="zh-CN"/>
        </w:rPr>
        <w:t>第四十六条</w:t>
      </w:r>
      <w:r>
        <w:rPr>
          <w:rFonts w:hint="eastAsia" w:ascii="仿宋_GB2312" w:hAnsi="仿宋_GB2312" w:eastAsia="仿宋_GB2312" w:cs="Times New Roman"/>
          <w:sz w:val="32"/>
          <w:szCs w:val="20"/>
          <w:lang w:val="en-US" w:eastAsia="zh-CN"/>
        </w:rPr>
        <w:t>的规定。徐冬冬、蒋玉龙作为联泰环保2022年</w:t>
      </w:r>
      <w:r>
        <w:rPr>
          <w:rFonts w:hint="eastAsia" w:ascii="仿宋_GB2312" w:hAnsi="仿宋_GB2312" w:eastAsia="仿宋_GB2312" w:cs="仿宋_GB2312"/>
          <w:b w:val="0"/>
          <w:bCs w:val="0"/>
          <w:kern w:val="2"/>
          <w:sz w:val="32"/>
          <w:szCs w:val="32"/>
          <w:highlight w:val="none"/>
          <w:lang w:val="en-US" w:eastAsia="zh-CN" w:bidi="ar-SA"/>
        </w:rPr>
        <w:t>年报审计项目的</w:t>
      </w:r>
      <w:r>
        <w:rPr>
          <w:rFonts w:hint="eastAsia" w:ascii="仿宋_GB2312" w:hAnsi="仿宋_GB2312" w:eastAsia="仿宋_GB2312" w:cs="Times New Roman"/>
          <w:sz w:val="32"/>
          <w:szCs w:val="20"/>
          <w:lang w:val="en-US" w:eastAsia="zh-CN"/>
        </w:rPr>
        <w:t>签字注册会计师，对上述违规行为负有主要责任。</w:t>
      </w:r>
    </w:p>
    <w:p>
      <w:pPr>
        <w:widowControl w:val="0"/>
        <w:numPr>
          <w:ilvl w:val="0"/>
          <w:numId w:val="0"/>
        </w:numPr>
        <w:wordWrap/>
        <w:overflowPunct w:val="0"/>
        <w:adjustRightInd w:val="0"/>
        <w:snapToGrid w:val="0"/>
        <w:spacing w:before="0" w:beforeLines="0" w:after="0" w:afterLines="0" w:line="348" w:lineRule="auto"/>
        <w:ind w:right="0" w:firstLine="640" w:firstLineChars="200"/>
        <w:jc w:val="both"/>
        <w:textAlignment w:val="auto"/>
        <w:outlineLvl w:val="9"/>
        <w:rPr>
          <w:rFonts w:hint="default" w:ascii="仿宋_GB2312" w:hAnsi="仿宋_GB2312" w:eastAsia="仿宋_GB2312" w:cs="仿宋_GB2312"/>
          <w:color w:val="000000"/>
          <w:spacing w:val="0"/>
          <w:sz w:val="32"/>
          <w:lang w:val="en-US" w:eastAsia="zh-CN"/>
        </w:rPr>
      </w:pPr>
      <w:r>
        <w:rPr>
          <w:rFonts w:hint="eastAsia" w:ascii="仿宋_GB2312" w:hAnsi="仿宋_GB2312" w:eastAsia="仿宋_GB2312" w:cs="Times New Roman"/>
          <w:sz w:val="32"/>
          <w:szCs w:val="20"/>
          <w:lang w:val="en-US" w:eastAsia="zh-CN"/>
        </w:rPr>
        <w:t>根</w:t>
      </w:r>
      <w:r>
        <w:rPr>
          <w:rFonts w:hint="eastAsia" w:ascii="仿宋_GB2312" w:hAnsi="仿宋_GB2312" w:eastAsia="仿宋_GB2312" w:cs="Times New Roman"/>
          <w:spacing w:val="-6"/>
          <w:sz w:val="32"/>
          <w:szCs w:val="20"/>
          <w:lang w:val="en-US" w:eastAsia="zh-CN"/>
        </w:rPr>
        <w:t>据《上市公司信息披露管理办法》</w:t>
      </w:r>
      <w:r>
        <w:rPr>
          <w:rFonts w:hint="eastAsia" w:ascii="仿宋_GB2312" w:hAnsi="仿宋_GB2312" w:eastAsia="仿宋_GB2312" w:cs="Times New Roman"/>
          <w:sz w:val="32"/>
          <w:szCs w:val="20"/>
          <w:lang w:val="en-US" w:eastAsia="zh-CN"/>
        </w:rPr>
        <w:t>第五十五条</w:t>
      </w:r>
      <w:r>
        <w:rPr>
          <w:rFonts w:hint="eastAsia" w:ascii="仿宋_GB2312" w:hAnsi="仿宋_GB2312" w:eastAsia="仿宋_GB2312" w:cs="Times New Roman"/>
          <w:spacing w:val="-6"/>
          <w:sz w:val="32"/>
          <w:szCs w:val="20"/>
          <w:lang w:val="en-US" w:eastAsia="zh-CN"/>
        </w:rPr>
        <w:t>的规定，</w:t>
      </w:r>
      <w:r>
        <w:rPr>
          <w:rFonts w:hint="eastAsia" w:ascii="仿宋_GB2312" w:hAnsi="仿宋_GB2312" w:eastAsia="仿宋_GB2312" w:cs="Times New Roman"/>
          <w:sz w:val="32"/>
          <w:szCs w:val="20"/>
          <w:lang w:val="en-US" w:eastAsia="zh-CN"/>
        </w:rPr>
        <w:t>我</w:t>
      </w:r>
      <w:r>
        <w:rPr>
          <w:rFonts w:hint="eastAsia" w:ascii="仿宋_GB2312" w:hAnsi="仿宋_GB2312" w:eastAsia="仿宋_GB2312" w:cs="Times New Roman"/>
          <w:spacing w:val="-6"/>
          <w:sz w:val="32"/>
          <w:szCs w:val="20"/>
          <w:lang w:val="en-US" w:eastAsia="zh-CN"/>
        </w:rPr>
        <w:t>局决定对立信所、徐冬冬、蒋玉龙采取出具警</w:t>
      </w:r>
      <w:r>
        <w:rPr>
          <w:rFonts w:hint="eastAsia" w:ascii="仿宋_GB2312" w:hAnsi="仿宋_GB2312" w:eastAsia="仿宋_GB2312" w:cs="Times New Roman"/>
          <w:sz w:val="32"/>
          <w:szCs w:val="20"/>
          <w:lang w:val="en-US" w:eastAsia="zh-CN"/>
        </w:rPr>
        <w:t>示函的行政监管措施。你们应认真吸取教训，严格遵守相关法律法规和中国注册会计师审计准则的规定，切实提高审计执业质量。</w:t>
      </w:r>
    </w:p>
    <w:p>
      <w:pPr>
        <w:widowControl w:val="0"/>
        <w:wordWrap/>
        <w:overflowPunct w:val="0"/>
        <w:adjustRightInd w:val="0"/>
        <w:snapToGrid w:val="0"/>
        <w:spacing w:before="0" w:beforeLines="0" w:after="0" w:afterLines="0" w:line="348" w:lineRule="auto"/>
        <w:ind w:left="0" w:leftChars="0" w:right="0" w:firstLine="640" w:firstLineChars="0"/>
        <w:jc w:val="both"/>
        <w:textAlignment w:val="auto"/>
        <w:outlineLvl w:val="9"/>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如果对本监督管理措施不服，可以在收到本决定书之日起60日内向中国证券监督管理委员会提出行政复议申请</w:t>
      </w:r>
      <w:r>
        <w:rPr>
          <w:rFonts w:hint="eastAsia" w:ascii="仿宋_GB2312" w:hAnsi="仿宋_GB2312" w:eastAsia="仿宋_GB2312" w:cs="仿宋_GB2312"/>
          <w:color w:val="000000"/>
          <w:spacing w:val="0"/>
          <w:sz w:val="32"/>
          <w:lang w:val="en-US" w:eastAsia="zh-CN"/>
        </w:rPr>
        <w:t>,</w:t>
      </w:r>
      <w:r>
        <w:rPr>
          <w:rFonts w:hint="eastAsia" w:ascii="仿宋_GB2312" w:hAnsi="仿宋_GB2312" w:eastAsia="仿宋_GB2312" w:cs="仿宋_GB2312"/>
          <w:color w:val="000000"/>
          <w:spacing w:val="0"/>
          <w:sz w:val="32"/>
        </w:rPr>
        <w:t>也可以在收到本决定书之日起6个月内向有管辖权的人民法院提起诉讼。复议与诉讼期间，上述监督管理措施不停止执行。</w:t>
      </w:r>
    </w:p>
    <w:p>
      <w:pPr>
        <w:pStyle w:val="8"/>
        <w:widowControl w:val="0"/>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widowControl/>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3</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rPr>
        <w:t>12</w:t>
      </w:r>
      <w:r>
        <w:rPr>
          <w:rFonts w:hint="eastAsia" w:ascii="仿宋_GB2312" w:hAnsi="Times New Roman" w:eastAsia="仿宋_GB2312" w:cs="Times New Roman"/>
          <w:color w:val="000000"/>
          <w:spacing w:val="10"/>
          <w:sz w:val="32"/>
          <w:szCs w:val="32"/>
        </w:rPr>
        <w:t>日</w:t>
      </w:r>
    </w:p>
    <w:p>
      <w:pPr>
        <w:snapToGrid w:val="0"/>
        <w:spacing w:line="360" w:lineRule="auto"/>
        <w:ind w:right="28"/>
        <w:jc w:val="left"/>
        <w:rPr>
          <w:rFonts w:hint="eastAsia" w:ascii="黑体" w:eastAsia="黑体"/>
          <w:spacing w:val="8"/>
          <w:sz w:val="3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snapToGrid w:val="0"/>
        <w:spacing w:line="300" w:lineRule="auto"/>
        <w:ind w:right="26"/>
        <w:jc w:val="left"/>
        <w:rPr>
          <w:rFonts w:hint="eastAsia" w:ascii="黑体" w:eastAsia="黑体"/>
          <w:spacing w:val="8"/>
          <w:sz w:val="24"/>
          <w:szCs w:val="16"/>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ascii="长城仿宋" w:eastAsia="长城仿宋"/>
          <w:sz w:val="28"/>
        </w:rPr>
      </w:pPr>
      <w:r>
        <w:rPr>
          <w:rFonts w:hint="eastAsia" w:ascii="仿宋_GB2312" w:eastAsia="仿宋_GB2312"/>
          <w:spacing w:val="8"/>
          <w:sz w:val="28"/>
        </w:rPr>
        <w:t>抄送：证监会上市司、稽查局、法治司、会计司；上海证监局。</w:t>
      </w:r>
    </w:p>
    <w:p>
      <w:pPr>
        <w:keepNext w:val="0"/>
        <w:keepLines w:val="0"/>
        <w:pageBreakBefore w:val="0"/>
        <w:widowControl w:val="0"/>
        <w:pBdr>
          <w:top w:val="single" w:color="auto" w:sz="4" w:space="6"/>
        </w:pBdr>
        <w:kinsoku/>
        <w:wordWrap/>
        <w:overflowPunct/>
        <w:topLinePunct w:val="0"/>
        <w:autoSpaceDE/>
        <w:autoSpaceDN/>
        <w:bidi w:val="0"/>
        <w:adjustRightInd w:val="0"/>
        <w:snapToGrid w:val="0"/>
        <w:spacing w:after="109" w:afterLines="35"/>
        <w:ind w:firstLine="296" w:firstLineChars="100"/>
        <w:jc w:val="left"/>
        <w:textAlignment w:val="auto"/>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default" w:ascii="仿宋_GB2312" w:eastAsia="仿宋_GB2312"/>
          <w:spacing w:val="8"/>
          <w:sz w:val="28"/>
          <w:lang w:val="en-US" w:eastAsia="zh-CN"/>
        </w:rPr>
        <w:t>5</w:t>
      </w:r>
      <w:r>
        <w:rPr>
          <w:rFonts w:hint="eastAsia" w:ascii="仿宋_GB2312" w:eastAsia="仿宋_GB2312"/>
          <w:spacing w:val="8"/>
          <w:sz w:val="28"/>
        </w:rPr>
        <w:t>年</w:t>
      </w:r>
      <w:r>
        <w:rPr>
          <w:rFonts w:hint="default" w:ascii="仿宋_GB2312" w:eastAsia="仿宋_GB2312"/>
          <w:spacing w:val="8"/>
          <w:sz w:val="28"/>
          <w:lang w:val="en-US"/>
        </w:rPr>
        <w:t>3</w:t>
      </w:r>
      <w:r>
        <w:rPr>
          <w:rFonts w:hint="eastAsia" w:ascii="仿宋_GB2312" w:eastAsia="仿宋_GB2312"/>
          <w:spacing w:val="8"/>
          <w:sz w:val="28"/>
        </w:rPr>
        <w:t>月</w:t>
      </w:r>
      <w:r>
        <w:rPr>
          <w:rFonts w:hint="default" w:ascii="仿宋_GB2312" w:eastAsia="仿宋_GB2312"/>
          <w:spacing w:val="8"/>
          <w:sz w:val="28"/>
          <w:lang w:val="en-US"/>
        </w:rPr>
        <w:t>12</w:t>
      </w:r>
      <w:r>
        <w:rPr>
          <w:rFonts w:hint="eastAsia" w:ascii="仿宋_GB2312" w:eastAsia="仿宋_GB2312"/>
          <w:spacing w:val="8"/>
          <w:sz w:val="28"/>
        </w:rPr>
        <w:t>日印发</w:t>
      </w:r>
    </w:p>
    <w:p>
      <w:pPr>
        <w:keepNext w:val="0"/>
        <w:keepLines w:val="0"/>
        <w:pageBreakBefore w:val="0"/>
        <w:widowControl w:val="0"/>
        <w:pBdr>
          <w:top w:val="single" w:color="auto" w:sz="8" w:space="7"/>
        </w:pBdr>
        <w:kinsoku/>
        <w:wordWrap/>
        <w:overflowPunct/>
        <w:topLinePunct w:val="0"/>
        <w:autoSpaceDE/>
        <w:autoSpaceDN/>
        <w:bidi w:val="0"/>
        <w:adjustRightInd w:val="0"/>
        <w:snapToGrid w:val="0"/>
        <w:spacing w:line="240" w:lineRule="auto"/>
        <w:ind w:firstLine="0"/>
        <w:jc w:val="left"/>
        <w:textAlignment w:val="auto"/>
        <w:rPr>
          <w:rFonts w:hint="eastAsia" w:ascii="仿宋_GB2312" w:eastAsia="仿宋_GB2312"/>
          <w:spacing w:val="8"/>
          <w:sz w:val="2"/>
          <w:szCs w:val="2"/>
        </w:rPr>
      </w:pPr>
    </w:p>
    <w:bookmarkEnd w:id="0"/>
    <w:p>
      <w:pPr>
        <w:snapToGrid w:val="0"/>
        <w:rPr>
          <w:sz w:val="2"/>
          <w:szCs w:val="2"/>
        </w:rPr>
      </w:pPr>
    </w:p>
    <w:sectPr>
      <w:footerReference r:id="rId3" w:type="default"/>
      <w:pgSz w:w="11906" w:h="16838"/>
      <w:pgMar w:top="2097"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仿宋">
    <w:altName w:val="宋体"/>
    <w:panose1 w:val="02010609000101010101"/>
    <w:charset w:val="00"/>
    <w:family w:val="auto"/>
    <w:pitch w:val="default"/>
    <w:sig w:usb0="00000000" w:usb1="00000000" w:usb2="0000001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CAGKDB+CESI_FS_GB18030">
    <w:altName w:val="宋体"/>
    <w:panose1 w:val="02000500000000000000"/>
    <w:charset w:val="86"/>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&#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F96F9"/>
    <w:rsid w:val="56FF96F9"/>
    <w:rsid w:val="6FBF162F"/>
    <w:rsid w:val="6FBF74AE"/>
    <w:rsid w:val="7E7754E2"/>
    <w:rsid w:val="AF7F20AB"/>
    <w:rsid w:val="AF7F9F1F"/>
    <w:rsid w:val="BFEF9417"/>
    <w:rsid w:val="DF2BBA7B"/>
    <w:rsid w:val="DFFBD48C"/>
    <w:rsid w:val="E77939CD"/>
    <w:rsid w:val="EB6E9F1F"/>
    <w:rsid w:val="F9DFDD00"/>
    <w:rsid w:val="FD696187"/>
    <w:rsid w:val="FD83DDAE"/>
    <w:rsid w:val="FF7B2CE0"/>
    <w:rsid w:val="FFB9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7">
    <w:name w:val="page number"/>
    <w:basedOn w:val="6"/>
    <w:qFormat/>
    <w:uiPriority w:val="0"/>
  </w:style>
  <w:style w:type="paragraph" w:customStyle="1" w:styleId="8">
    <w:name w:val="p0"/>
    <w:basedOn w:val="1"/>
    <w:qFormat/>
    <w:uiPriority w:val="0"/>
    <w:pPr>
      <w:widowControl/>
    </w:pPr>
    <w:rPr>
      <w:rFonts w:hint="eastAsia"/>
    </w:r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2025-02-18T03:13:00Z</dcterms:created>
  <dc:creator>陈佳锐</dc:creator>
  <cp:lastModifiedBy>陈佳锐</cp:lastModifiedBy>
  <dcterms:modified xsi:type="dcterms:W3CDTF">2025-03-17T11:20:01Z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B23FFDB9131DEE0FE194D76730D1F572</vt:lpwstr>
  </property>
</Properties>
</file>