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0"/>
          <w:right w:val="none" w:color="auto" w:sz="0" w:space="4"/>
        </w:pBdr>
        <w:tabs>
          <w:tab w:val="left" w:pos="420"/>
        </w:tabs>
        <w:snapToGrid w:val="0"/>
        <w:spacing w:line="300" w:lineRule="auto"/>
        <w:jc w:val="center"/>
        <w:outlineLvl w:val="9"/>
        <w:rPr>
          <w:rFonts w:ascii="仿宋_GB2312" w:hAnsi="Times New Roman" w:eastAsia="仿宋_GB2312" w:cs="Times New Roman"/>
          <w:color w:val="000000"/>
          <w:spacing w:val="12"/>
          <w:kern w:val="2"/>
          <w:sz w:val="21"/>
          <w:szCs w:val="21"/>
          <w:lang w:val="en-US" w:eastAsia="zh-CN" w:bidi="ar-SA"/>
        </w:rPr>
      </w:pPr>
      <w:bookmarkStart w:id="1" w:name="quanwen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pacing w:val="0"/>
          <w:kern w:val="0"/>
          <w:sz w:val="44"/>
          <w:szCs w:val="2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24"/>
          <w:lang w:val="en-US" w:eastAsia="zh-CN" w:bidi="ar-SA"/>
        </w:rPr>
        <w:t>关于对广州市原象私募基金管理有限公司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24"/>
          <w:lang w:val="en-US" w:eastAsia="zh-CN" w:bidi="ar-SA"/>
        </w:rPr>
        <w:t>采取出具警示函措施的决定</w:t>
      </w:r>
    </w:p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textAlignment w:val="auto"/>
        <w:rPr>
          <w:rFonts w:hint="eastAsia" w:ascii="仿宋_GB2312" w:hAnsi="仿宋_GB2312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sz w:val="32"/>
          <w:szCs w:val="30"/>
          <w:lang w:val="en-US" w:eastAsia="zh-CN"/>
        </w:rPr>
        <w:t>广州市原象私募基金管理有限公司：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经查，你公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highlight w:val="none"/>
          <w:lang w:val="en-US" w:eastAsia="zh-CN" w:bidi="ar-SA"/>
        </w:rPr>
        <w:t>司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存在以</w:t>
      </w:r>
      <w:r>
        <w:rPr>
          <w:rFonts w:hint="eastAsia" w:ascii="仿宋_GB2312" w:hAnsi="宋体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下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违规情形：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18" w:firstLineChars="200"/>
        <w:jc w:val="both"/>
        <w:textAlignment w:val="auto"/>
        <w:outlineLvl w:val="9"/>
        <w:rPr>
          <w:rFonts w:hint="default" w:ascii="仿宋_GB2312" w:hAnsi="宋体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24"/>
          <w:highlight w:val="none"/>
          <w:lang w:val="en-US" w:eastAsia="zh-CN" w:bidi="ar-SA"/>
        </w:rPr>
        <w:t>你公司为其他企业进行项目推荐以及提供咨询服务</w:t>
      </w:r>
      <w:r>
        <w:rPr>
          <w:rFonts w:hint="default" w:ascii="仿宋_GB2312" w:hAnsi="宋体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" w:eastAsia="zh-CN" w:bidi="ar-SA"/>
        </w:rPr>
        <w:t>,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" w:eastAsia="zh-CN" w:bidi="ar-SA"/>
        </w:rPr>
        <w:t>违反了《关于加强私募投资基金监管的若干规定》（证监会公告〔2020〕71号，以下简称《若干规定》）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-SA"/>
        </w:rPr>
        <w:t>第四条以及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24"/>
          <w:lang w:eastAsia="zh-CN"/>
        </w:rPr>
        <w:t>《私募投资基金监督管理暂行办法》（证监会令第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24"/>
          <w:lang w:val="en-US" w:eastAsia="zh-CN"/>
        </w:rPr>
        <w:t>105号，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24"/>
          <w:lang w:eastAsia="zh-CN"/>
        </w:rPr>
        <w:t>以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lang w:eastAsia="zh-CN"/>
        </w:rPr>
        <w:t>下简称《私募办法》）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第二十三条第九项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-SA"/>
        </w:rPr>
        <w:t>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24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32"/>
          <w:szCs w:val="24"/>
          <w:highlight w:val="none"/>
          <w:lang w:val="en-US" w:eastAsia="zh-CN" w:bidi="ar-SA"/>
        </w:rPr>
        <w:t>你公司未及时更新从业人员信息，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" w:eastAsia="zh-CN" w:bidi="ar-SA"/>
        </w:rPr>
        <w:t>违反了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《私募办法》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-SA"/>
        </w:rPr>
        <w:t>第二十五条第一款的规定。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根据《私募办法》第三十三条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kern w:val="0"/>
          <w:sz w:val="32"/>
          <w:szCs w:val="32"/>
          <w:highlight w:val="none"/>
          <w:lang w:val="en-US" w:eastAsia="zh-CN" w:bidi="ar-SA"/>
        </w:rPr>
        <w:t>及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《若干规定》第十三条第一款的规定，我局决定对你公司采取出具警示函的行政监管措施。你公司应高度重视，采取切实有效的措施，对存在的问题进行整改，对相关责任人员进行问责，并在收到本决定书之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lang w:val="en-US" w:eastAsia="zh-CN" w:bidi="ar-SA"/>
        </w:rPr>
        <w:t>日起30日内向我局提交书面整改报告。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24"/>
        </w:rPr>
        <w:t>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jc w:val="center"/>
        <w:outlineLvl w:val="9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hAnsi="Calibri" w:eastAsia="宋体" w:cs="Times New Roman"/>
          <w:spacing w:val="8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jc w:val="both"/>
        <w:textAlignment w:val="auto"/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Calibri" w:eastAsia="仿宋_GB2312" w:cs="Times New Roman"/>
          <w:spacing w:val="8"/>
          <w:kern w:val="2"/>
          <w:sz w:val="28"/>
          <w:szCs w:val="24"/>
          <w:lang w:val="en-US" w:eastAsia="zh-CN" w:bidi="ar-SA"/>
        </w:rPr>
        <w:t>抄送：证监会市场二司，法治司；中国证券投资基金业协会。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Calibri" w:eastAsia="仿宋_GB2312" w:cs="Times New Roman"/>
          <w:spacing w:val="8"/>
          <w:sz w:val="28"/>
          <w:szCs w:val="24"/>
        </w:rPr>
      </w:pP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广东证监局办公室            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/>
        </w:rPr>
        <w:t xml:space="preserve">   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 xml:space="preserve"> 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" w:eastAsia="zh-CN"/>
        </w:rPr>
        <w:t>202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年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月</w:t>
      </w:r>
      <w:r>
        <w:rPr>
          <w:rFonts w:hint="default" w:ascii="仿宋_GB2312" w:hAnsi="Calibri" w:eastAsia="仿宋_GB2312" w:cs="Times New Roman"/>
          <w:spacing w:val="8"/>
          <w:sz w:val="28"/>
          <w:szCs w:val="24"/>
          <w:lang w:val="en-US" w:eastAsia="zh-CN"/>
        </w:rPr>
        <w:t>13</w:t>
      </w:r>
      <w:r>
        <w:rPr>
          <w:rFonts w:hint="eastAsia" w:ascii="仿宋_GB2312" w:hAnsi="Calibri" w:eastAsia="仿宋_GB2312" w:cs="Times New Roman"/>
          <w:spacing w:val="8"/>
          <w:sz w:val="28"/>
          <w:szCs w:val="24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hAnsi="Calibri" w:eastAsia="仿宋_GB2312" w:cs="Times New Roman"/>
          <w:spacing w:val="8"/>
          <w:sz w:val="2"/>
          <w:szCs w:val="2"/>
        </w:rPr>
      </w:pPr>
    </w:p>
    <w:bookmarkEnd w:id="1"/>
    <w:p>
      <w:pPr>
        <w:rPr>
          <w:rFonts w:ascii="Times New Roman" w:hAnsi="Times New Roman" w:eastAsia="宋体" w:cs="Times New Roman"/>
          <w:szCs w:val="20"/>
        </w:rPr>
      </w:pPr>
    </w:p>
    <w:p/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hint="eastAsia" w:ascii="宋体" w:hAnsi="宋体" w:eastAsia="宋体" w:cs="宋体"/>
        <w:kern w:val="2"/>
        <w:sz w:val="28"/>
        <w:szCs w:val="24"/>
        <w:lang w:val="en-US" w:eastAsia="zh-CN" w:bidi="ar-SA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BWGMPysCAABVBAAADgAAAAAAAAABACAAAAA1AQAA&#10;ZHJzL2Uyb0RvYy54bWxQSwECFAAUAAAACACHTuJAs0lY7tAAAAAFAQAADwAAAAAAAAABACAAAAA4&#10;AAAAZHJzL2Rvd25yZXYueG1sUEsBAhQACgAAAAAAh07iQAAAAAAAAAAAAAAAAAQAAAAAAAAAAAAQ&#10;AAAAFgAAAGRycy9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5D6AC"/>
    <w:rsid w:val="18DFBFCD"/>
    <w:rsid w:val="3FFFFE9A"/>
    <w:rsid w:val="5CFD0D40"/>
    <w:rsid w:val="5FFAB00A"/>
    <w:rsid w:val="6BAB935C"/>
    <w:rsid w:val="6FBE7535"/>
    <w:rsid w:val="AF2F607D"/>
    <w:rsid w:val="AFFF5B25"/>
    <w:rsid w:val="C1F6B940"/>
    <w:rsid w:val="CEDFAA40"/>
    <w:rsid w:val="CFC71178"/>
    <w:rsid w:val="DF75D6AC"/>
    <w:rsid w:val="DF7EB761"/>
    <w:rsid w:val="ED3509CD"/>
    <w:rsid w:val="EFB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  <w:style w:type="paragraph" w:customStyle="1" w:styleId="5">
    <w:name w:val="NormalIndent"/>
    <w:basedOn w:val="1"/>
    <w:next w:val="1"/>
    <w:qFormat/>
    <w:uiPriority w:val="0"/>
    <w:pPr>
      <w:ind w:firstLine="880" w:firstLineChars="200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551</Characters>
  <Lines>0</Lines>
  <Paragraphs>0</Paragraphs>
  <TotalTime>1</TotalTime>
  <ScaleCrop>false</ScaleCrop>
  <LinksUpToDate>false</LinksUpToDate>
  <CharactersWithSpaces>592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2026-01-14T23:44:00Z</dcterms:created>
  <dc:creator>卢俊宏</dc:creator>
  <cp:lastModifiedBy>卢俊宏：处室其他人员核稿</cp:lastModifiedBy>
  <dcterms:modified xsi:type="dcterms:W3CDTF">2026-02-26T16:22:56Z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8D49BF925F172FF29902A0693226BA4E</vt:lpwstr>
  </property>
</Properties>
</file>