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cs="Times New Roman"/>
          <w:b/>
          <w:color w:val="FF0000"/>
          <w:w w:val="95"/>
          <w:kern w:val="0"/>
          <w:sz w:val="44"/>
          <w:szCs w:val="116"/>
        </w:rPr>
      </w:pPr>
      <w:bookmarkStart w:id="2" w:name="_GoBack"/>
      <w:bookmarkEnd w:id="2"/>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default" w:ascii="仿宋_GB2312" w:hAnsi="Times New Roman" w:eastAsia="仿宋_GB2312" w:cs="Times New Roman"/>
          <w:color w:val="000000"/>
          <w:spacing w:val="12"/>
          <w:sz w:val="28"/>
          <w:szCs w:val="20"/>
          <w:lang w:val="en-US"/>
        </w:rPr>
        <w:t>26</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53</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cs="Times New Roman"/>
          <w:sz w:val="28"/>
          <w:szCs w:val="28"/>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V8uZj/QEAAPUDAAAO&#10;AAAAZHJzL2Uyb0RvYy54bWytU82O0zAQviPxDpbvNGlRllXUdA9bygVBJeABXNtJLPlPHrdpX4IX&#10;QOIGJ47ceRt2H4OxE8qyXHogB2fsGX+e75uZ5c3RaHKQAZSzDZ3PSkqk5U4o2zX0w/vNs2tKIDIr&#10;mHZWNvQkgd6snj5ZDr6WC9c7LWQgCGKhHnxD+xh9XRTAe2kYzJyXFp2tC4ZF3IauEIENiG50sSjL&#10;q2JwQfjguATA0/XopBNiuATQta3icu343kgbR9QgNYtICXrlga5ytm0reXzbtiAj0Q1FpjGv+Aja&#10;u7QWqyWru8B8r/iUArskhUecDFMWHz1DrVlkZB/UP1BG8eDAtXHGnSlGIlkRZDEvH2nzrmdeZi4o&#10;Nfiz6PD/YPmbwzYQJbATKLHMYMHvPn3/+fHL/Y/PuN59+0rmSaTBQ42xt3Ybph34bUiMj20w6Y9c&#10;yDELezoLK4+RcDysqmp+XVaUcPRdPa8SYvHnqg8QX0lnSDIaqpVNrFnNDq8hjqG/Q9KxtmTAfBcv&#10;SqwiZ9iDLdYeTeORB9guXwanldgordMVCN3uVgdyYNgHm02J35TDX2HplTWDfozLrhTG6l4y8dIK&#10;Ek8eFbI4GDTlYKSgREuco2TlyMiUviQS6WuboGXu0oloknkUNlk7J05Ynb0PqutRmFyJInmwG7KC&#10;U+emdnu4R/vhtK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IgDAABfcmVscy8ucmVsc1BLAQIUABQAAAAIAIdO4kB+5uUg9wAAAOEBAAATAAAA&#10;AAAAAAEAIAAAAIIEAABbQ29udGVudF9UeXBlc10ueG1sUEsBAhQACgAAAAAAh07iQAAAAAAAAAAA&#10;AAAAAAYAAAAAAAAAAAAQAAAAZAMAAF9yZWxzL1BLAQIUABQAAAAIAIdO4kAV8uZj/QEAAPUDAAAO&#10;AAAAAAAAAAEAIAAAADsBAABkcnMvZTJvRG9jLnhtbFBLAQIUABQAAAAIAIdO4kDML7WS1gAAAAgB&#10;AAAPAAAAAAAAAAEAIAAAADgAAABkcnMvZG93bnJldi54bWxQSwECFAAKAAAAAACHTuJAAAAAAAAA&#10;AAAAAAAABAAAAAAAAAAAABAAAAAWAAAAZHJzL1BLBQYAAAAABgAGAFkBAACqBQAAAAA=&#10;">
                <v:fill on="f" focussize="0,0"/>
                <v:stroke weight="1pt" color="#FF0000" joinstyle="round"/>
                <v:imagedata o:title=""/>
                <o:lock v:ext="edit" aspectratio="f"/>
              </v:line>
            </w:pict>
          </mc:Fallback>
        </mc:AlternateContent>
      </w:r>
    </w:p>
    <w:p>
      <w:pPr>
        <w:jc w:val="center"/>
        <w:rPr>
          <w:rFonts w:hint="eastAsia"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kern w:val="0"/>
          <w:sz w:val="44"/>
          <w:szCs w:val="44"/>
          <w:lang w:val="en" w:eastAsia="zh-CN" w:bidi="ar-SA"/>
        </w:rPr>
      </w:pPr>
      <w:bookmarkStart w:id="1" w:name="quanwen"/>
      <w:r>
        <w:rPr>
          <w:rFonts w:hint="eastAsia" w:ascii="方正小标宋简体" w:hAnsi="方正小标宋简体" w:eastAsia="方正小标宋简体" w:cs="方正小标宋简体"/>
          <w:spacing w:val="0"/>
          <w:kern w:val="0"/>
          <w:sz w:val="44"/>
          <w:szCs w:val="44"/>
          <w:lang w:val="en-US" w:eastAsia="zh-CN" w:bidi="ar-SA"/>
        </w:rPr>
        <w:t>关于对</w:t>
      </w:r>
      <w:r>
        <w:rPr>
          <w:rFonts w:hint="eastAsia" w:ascii="方正小标宋简体" w:hAnsi="方正小标宋简体" w:eastAsia="方正小标宋简体" w:cs="方正小标宋简体"/>
          <w:spacing w:val="0"/>
          <w:kern w:val="0"/>
          <w:sz w:val="44"/>
          <w:szCs w:val="44"/>
          <w:lang w:val="en" w:eastAsia="zh-CN" w:bidi="ar-SA"/>
        </w:rPr>
        <w:t>广东康利私募基金管理有限公司</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kern w:val="0"/>
          <w:sz w:val="44"/>
          <w:szCs w:val="44"/>
          <w:lang w:val="en-US" w:eastAsia="zh-CN" w:bidi="ar-SA"/>
        </w:rPr>
      </w:pPr>
      <w:r>
        <w:rPr>
          <w:rFonts w:hint="eastAsia" w:ascii="方正小标宋简体" w:hAnsi="方正小标宋简体" w:eastAsia="方正小标宋简体" w:cs="方正小标宋简体"/>
          <w:spacing w:val="0"/>
          <w:kern w:val="0"/>
          <w:sz w:val="44"/>
          <w:szCs w:val="44"/>
          <w:lang w:val="en-US" w:eastAsia="zh-CN" w:bidi="ar-SA"/>
        </w:rPr>
        <w:t>采取责令改正措施的决定</w:t>
      </w:r>
    </w:p>
    <w:p>
      <w:pPr>
        <w:snapToGrid w:val="0"/>
        <w:spacing w:beforeLines="0" w:afterLines="0"/>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right="0" w:rightChars="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 w:eastAsia="zh-CN"/>
        </w:rPr>
        <w:t>广东康利私募基金管理有限公司：</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宋体" w:eastAsia="仿宋_GB2312" w:cs="Times New Roman"/>
          <w:b w:val="0"/>
          <w:bCs w:val="0"/>
          <w:color w:val="auto"/>
          <w:spacing w:val="-6"/>
          <w:sz w:val="32"/>
          <w:szCs w:val="32"/>
          <w:lang w:val="en-US" w:eastAsia="zh-CN"/>
        </w:rPr>
      </w:pPr>
      <w:r>
        <w:rPr>
          <w:rFonts w:hint="eastAsia" w:ascii="仿宋_GB2312" w:hAnsi="仿宋_GB2312" w:eastAsia="仿宋_GB2312" w:cs="仿宋_GB2312"/>
          <w:sz w:val="32"/>
          <w:lang w:val="en-US" w:eastAsia="zh-CN"/>
        </w:rPr>
        <w:t>经查，</w:t>
      </w:r>
      <w:r>
        <w:rPr>
          <w:rFonts w:hint="eastAsia" w:ascii="仿宋_GB2312" w:hAnsi="仿宋_GB2312" w:eastAsia="仿宋_GB2312" w:cs="仿宋_GB2312"/>
          <w:b w:val="0"/>
          <w:bCs w:val="0"/>
          <w:sz w:val="32"/>
          <w:lang w:val="en-US" w:eastAsia="zh-CN"/>
        </w:rPr>
        <w:t>你公司</w:t>
      </w:r>
      <w:r>
        <w:rPr>
          <w:rFonts w:hint="eastAsia" w:ascii="仿宋_GB2312" w:hAnsi="宋体" w:eastAsia="仿宋_GB2312" w:cs="Times New Roman"/>
          <w:b w:val="0"/>
          <w:bCs w:val="0"/>
          <w:color w:val="auto"/>
          <w:sz w:val="32"/>
          <w:szCs w:val="32"/>
          <w:lang w:val="en-US" w:eastAsia="zh-CN"/>
        </w:rPr>
        <w:t>存在以</w:t>
      </w:r>
      <w:r>
        <w:rPr>
          <w:rFonts w:hint="eastAsia" w:ascii="仿宋_GB2312" w:hAnsi="宋体" w:eastAsia="仿宋_GB2312" w:cs="Times New Roman"/>
          <w:b w:val="0"/>
          <w:bCs w:val="0"/>
          <w:color w:val="auto"/>
          <w:spacing w:val="-6"/>
          <w:sz w:val="32"/>
          <w:szCs w:val="32"/>
          <w:lang w:val="en-US" w:eastAsia="zh-CN"/>
        </w:rPr>
        <w:t>下违规行为：</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42" w:firstLineChars="200"/>
        <w:jc w:val="both"/>
        <w:textAlignment w:val="auto"/>
        <w:outlineLvl w:val="9"/>
        <w:rPr>
          <w:rFonts w:hint="eastAsia" w:ascii="仿宋_GB2312" w:hAnsi="仿宋_GB2312" w:eastAsia="仿宋_GB2312" w:cs="仿宋_GB2312"/>
          <w:spacing w:val="0"/>
          <w:sz w:val="32"/>
          <w:szCs w:val="30"/>
          <w:highlight w:val="none"/>
          <w:lang w:val="en-US" w:eastAsia="zh-CN"/>
        </w:rPr>
      </w:pPr>
      <w:r>
        <w:rPr>
          <w:rFonts w:hint="eastAsia" w:ascii="仿宋_GB2312" w:hAnsi="仿宋_GB2312" w:eastAsia="仿宋_GB2312" w:cs="仿宋_GB2312"/>
          <w:b/>
          <w:bCs/>
          <w:spacing w:val="0"/>
          <w:sz w:val="32"/>
          <w:szCs w:val="30"/>
          <w:highlight w:val="none"/>
          <w:lang w:val="en-US" w:eastAsia="zh-CN"/>
        </w:rPr>
        <w:t>一是</w:t>
      </w:r>
      <w:r>
        <w:rPr>
          <w:rFonts w:hint="eastAsia" w:ascii="仿宋_GB2312" w:hAnsi="仿宋_GB2312" w:eastAsia="仿宋_GB2312" w:cs="仿宋_GB2312"/>
          <w:spacing w:val="0"/>
          <w:sz w:val="32"/>
          <w:szCs w:val="30"/>
          <w:highlight w:val="none"/>
          <w:lang w:val="en-US" w:eastAsia="zh-CN"/>
        </w:rPr>
        <w:t>你公司未谨慎勤勉履行管理人职责，未通过获取资产证明或收入证明材料等方式了解部分投资者的财务状况，</w:t>
      </w:r>
      <w:r>
        <w:rPr>
          <w:rFonts w:hint="eastAsia" w:ascii="仿宋_GB2312" w:hAnsi="仿宋_GB2312" w:eastAsia="仿宋_GB2312" w:cs="仿宋_GB2312"/>
          <w:sz w:val="32"/>
          <w:szCs w:val="32"/>
          <w:highlight w:val="none"/>
          <w:lang w:val="en-US" w:eastAsia="zh-CN"/>
        </w:rPr>
        <w:t>违反了</w:t>
      </w:r>
      <w:r>
        <w:rPr>
          <w:rFonts w:hint="eastAsia" w:ascii="仿宋_GB2312" w:hAnsi="仿宋_GB2312" w:eastAsia="仿宋_GB2312" w:cs="仿宋_GB2312"/>
          <w:b w:val="0"/>
          <w:bCs w:val="0"/>
          <w:spacing w:val="0"/>
          <w:kern w:val="0"/>
          <w:sz w:val="32"/>
          <w:szCs w:val="32"/>
          <w:lang w:val="en-US" w:eastAsia="zh-CN" w:bidi="ar-SA"/>
        </w:rPr>
        <w:t>《证券期货投资者适当性管理办法》（证监会令第130号，经证监会令第177号、第202号修正，以下简称《适当性办法》）第六条第二项、</w:t>
      </w:r>
      <w:r>
        <w:rPr>
          <w:rFonts w:hint="eastAsia" w:ascii="仿宋_GB2312" w:hAnsi="仿宋_GB2312" w:eastAsia="仿宋_GB2312" w:cs="仿宋_GB2312"/>
          <w:color w:val="000000"/>
          <w:spacing w:val="0"/>
          <w:sz w:val="32"/>
          <w:lang w:eastAsia="zh-CN"/>
        </w:rPr>
        <w:t>《私募投资基金监督管理暂行办法》（证监会令第</w:t>
      </w:r>
      <w:r>
        <w:rPr>
          <w:rFonts w:hint="eastAsia" w:ascii="仿宋_GB2312" w:hAnsi="仿宋_GB2312" w:eastAsia="仿宋_GB2312" w:cs="仿宋_GB2312"/>
          <w:color w:val="000000"/>
          <w:spacing w:val="0"/>
          <w:sz w:val="32"/>
          <w:lang w:val="en-US" w:eastAsia="zh-CN"/>
        </w:rPr>
        <w:t>105号，</w:t>
      </w:r>
      <w:r>
        <w:rPr>
          <w:rFonts w:hint="eastAsia" w:ascii="仿宋_GB2312" w:hAnsi="仿宋_GB2312" w:eastAsia="仿宋_GB2312" w:cs="仿宋_GB2312"/>
          <w:color w:val="000000"/>
          <w:spacing w:val="0"/>
          <w:sz w:val="32"/>
          <w:lang w:eastAsia="zh-CN"/>
        </w:rPr>
        <w:t>以</w:t>
      </w:r>
      <w:r>
        <w:rPr>
          <w:rFonts w:hint="eastAsia" w:ascii="仿宋_GB2312" w:hAnsi="宋体" w:eastAsia="仿宋_GB2312" w:cs="Times New Roman"/>
          <w:color w:val="000000"/>
          <w:spacing w:val="0"/>
          <w:sz w:val="32"/>
          <w:szCs w:val="32"/>
          <w:lang w:eastAsia="zh-CN"/>
        </w:rPr>
        <w:t>下简称《私募办法》）</w:t>
      </w:r>
      <w:r>
        <w:rPr>
          <w:rFonts w:hint="eastAsia" w:ascii="仿宋_GB2312" w:hAnsi="仿宋_GB2312" w:eastAsia="仿宋_GB2312" w:cs="仿宋_GB2312"/>
          <w:spacing w:val="0"/>
          <w:sz w:val="32"/>
          <w:szCs w:val="30"/>
          <w:highlight w:val="none"/>
          <w:lang w:val="en-US" w:eastAsia="zh-CN"/>
        </w:rPr>
        <w:t>第四条第一款的规定。</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18" w:firstLineChars="200"/>
        <w:jc w:val="both"/>
        <w:textAlignment w:val="auto"/>
        <w:outlineLvl w:val="9"/>
        <w:rPr>
          <w:rFonts w:hint="eastAsia" w:ascii="仿宋_GB2312" w:hAnsi="仿宋_GB2312" w:eastAsia="仿宋_GB2312" w:cs="仿宋_GB2312"/>
          <w:spacing w:val="0"/>
          <w:sz w:val="32"/>
          <w:szCs w:val="30"/>
          <w:highlight w:val="none"/>
          <w:lang w:val="en-US" w:eastAsia="zh-CN"/>
        </w:rPr>
      </w:pPr>
      <w:r>
        <w:rPr>
          <w:rFonts w:hint="eastAsia" w:ascii="仿宋_GB2312" w:hAnsi="宋体" w:eastAsia="仿宋_GB2312" w:cs="Times New Roman"/>
          <w:b/>
          <w:bCs/>
          <w:color w:val="auto"/>
          <w:spacing w:val="-6"/>
          <w:sz w:val="32"/>
          <w:szCs w:val="32"/>
          <w:highlight w:val="none"/>
          <w:lang w:val="en-US" w:eastAsia="zh-CN"/>
        </w:rPr>
        <w:t>二是</w:t>
      </w:r>
      <w:r>
        <w:rPr>
          <w:rFonts w:hint="eastAsia" w:ascii="仿宋_GB2312" w:hAnsi="宋体" w:eastAsia="仿宋_GB2312" w:cs="Times New Roman"/>
          <w:b w:val="0"/>
          <w:bCs w:val="0"/>
          <w:color w:val="auto"/>
          <w:spacing w:val="-6"/>
          <w:sz w:val="32"/>
          <w:szCs w:val="32"/>
          <w:highlight w:val="none"/>
          <w:lang w:val="en-US" w:eastAsia="zh-CN"/>
        </w:rPr>
        <w:t>你公司未按</w:t>
      </w:r>
      <w:r>
        <w:rPr>
          <w:rFonts w:hint="eastAsia" w:ascii="仿宋_GB2312" w:hAnsi="仿宋_GB2312" w:eastAsia="仿宋_GB2312" w:cs="仿宋_GB2312"/>
          <w:sz w:val="32"/>
          <w:szCs w:val="32"/>
          <w:lang w:val="en-US" w:eastAsia="zh-CN"/>
        </w:rPr>
        <w:t>广东康利-康利系列2号私募基金（以下简称康利2号）基金合同约定的信息披露期限及时</w:t>
      </w:r>
      <w:r>
        <w:rPr>
          <w:rFonts w:hint="eastAsia" w:ascii="仿宋_GB2312" w:hAnsi="仿宋_GB2312" w:eastAsia="仿宋_GB2312" w:cs="仿宋_GB2312"/>
          <w:spacing w:val="0"/>
          <w:sz w:val="32"/>
          <w:szCs w:val="30"/>
          <w:highlight w:val="none"/>
          <w:lang w:val="en-US" w:eastAsia="zh-CN"/>
        </w:rPr>
        <w:t>向投资者披露</w:t>
      </w:r>
      <w:r>
        <w:rPr>
          <w:rFonts w:hint="eastAsia" w:ascii="仿宋_GB2312" w:hAnsi="仿宋_GB2312" w:eastAsia="仿宋_GB2312" w:cs="仿宋_GB2312"/>
          <w:b w:val="0"/>
          <w:bCs w:val="0"/>
          <w:sz w:val="32"/>
          <w:szCs w:val="32"/>
          <w:highlight w:val="none"/>
          <w:lang w:val="en-US" w:eastAsia="zh-CN"/>
        </w:rPr>
        <w:t>季度报告，违反了</w:t>
      </w:r>
      <w:r>
        <w:rPr>
          <w:rFonts w:hint="eastAsia" w:ascii="仿宋_GB2312" w:hAnsi="仿宋_GB2312" w:eastAsia="仿宋_GB2312" w:cs="仿宋_GB2312"/>
          <w:spacing w:val="0"/>
          <w:sz w:val="32"/>
          <w:szCs w:val="30"/>
          <w:highlight w:val="none"/>
          <w:lang w:val="en-US" w:eastAsia="zh-CN"/>
        </w:rPr>
        <w:t>《私募办法》第二十四条的规定。</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18" w:firstLineChars="200"/>
        <w:jc w:val="both"/>
        <w:textAlignment w:val="auto"/>
        <w:outlineLvl w:val="9"/>
        <w:rPr>
          <w:rFonts w:hint="eastAsia" w:ascii="仿宋_GB2312" w:hAnsi="仿宋_GB2312" w:eastAsia="仿宋_GB2312" w:cs="仿宋_GB2312"/>
          <w:spacing w:val="0"/>
          <w:sz w:val="32"/>
          <w:szCs w:val="30"/>
          <w:highlight w:val="none"/>
          <w:lang w:val="en-US" w:eastAsia="zh-CN"/>
        </w:rPr>
      </w:pPr>
      <w:r>
        <w:rPr>
          <w:rFonts w:hint="eastAsia" w:ascii="仿宋_GB2312" w:hAnsi="宋体" w:eastAsia="仿宋_GB2312" w:cs="Times New Roman"/>
          <w:b/>
          <w:bCs/>
          <w:color w:val="auto"/>
          <w:spacing w:val="-6"/>
          <w:sz w:val="32"/>
          <w:szCs w:val="32"/>
          <w:highlight w:val="none"/>
          <w:lang w:val="en-US" w:eastAsia="zh-CN"/>
        </w:rPr>
        <w:t>三是</w:t>
      </w:r>
      <w:r>
        <w:rPr>
          <w:rFonts w:hint="eastAsia" w:ascii="仿宋_GB2312" w:hAnsi="宋体" w:eastAsia="仿宋_GB2312" w:cs="Times New Roman"/>
          <w:b w:val="0"/>
          <w:bCs w:val="0"/>
          <w:color w:val="auto"/>
          <w:spacing w:val="-6"/>
          <w:sz w:val="32"/>
          <w:szCs w:val="32"/>
          <w:highlight w:val="none"/>
          <w:lang w:val="en-US" w:eastAsia="zh-CN"/>
        </w:rPr>
        <w:t>你公司未</w:t>
      </w:r>
      <w:r>
        <w:rPr>
          <w:rFonts w:hint="eastAsia" w:ascii="仿宋_GB2312" w:hAnsi="仿宋_GB2312" w:eastAsia="仿宋_GB2312" w:cs="仿宋_GB2312"/>
          <w:b w:val="0"/>
          <w:bCs w:val="0"/>
          <w:color w:val="auto"/>
          <w:spacing w:val="0"/>
          <w:kern w:val="0"/>
          <w:sz w:val="32"/>
          <w:szCs w:val="24"/>
          <w:highlight w:val="none"/>
          <w:lang w:val="en-US" w:eastAsia="zh-CN" w:bidi="ar-SA"/>
        </w:rPr>
        <w:t>及时更新办公场地信息，</w:t>
      </w:r>
      <w:r>
        <w:rPr>
          <w:rFonts w:hint="eastAsia" w:ascii="仿宋_GB2312" w:hAnsi="宋体" w:eastAsia="仿宋_GB2312" w:cs="Times New Roman"/>
          <w:b w:val="0"/>
          <w:bCs w:val="0"/>
          <w:color w:val="auto"/>
          <w:spacing w:val="-6"/>
          <w:kern w:val="0"/>
          <w:sz w:val="32"/>
          <w:szCs w:val="32"/>
          <w:highlight w:val="none"/>
          <w:lang w:val="en" w:eastAsia="zh-CN" w:bidi="ar-SA"/>
        </w:rPr>
        <w:t>违反了</w:t>
      </w:r>
      <w:r>
        <w:rPr>
          <w:rFonts w:hint="eastAsia" w:ascii="仿宋_GB2312" w:hAnsi="宋体" w:eastAsia="仿宋_GB2312" w:cs="Times New Roman"/>
          <w:color w:val="000000"/>
          <w:spacing w:val="0"/>
          <w:sz w:val="32"/>
          <w:szCs w:val="32"/>
          <w:lang w:eastAsia="zh-CN"/>
        </w:rPr>
        <w:t>《私募办法》</w:t>
      </w:r>
      <w:r>
        <w:rPr>
          <w:rFonts w:hint="eastAsia" w:ascii="仿宋_GB2312" w:hAnsi="宋体" w:eastAsia="仿宋_GB2312" w:cs="Times New Roman"/>
          <w:b w:val="0"/>
          <w:bCs w:val="0"/>
          <w:spacing w:val="0"/>
          <w:kern w:val="0"/>
          <w:sz w:val="32"/>
          <w:szCs w:val="32"/>
          <w:highlight w:val="none"/>
          <w:lang w:val="en-US" w:eastAsia="zh-CN" w:bidi="ar-SA"/>
        </w:rPr>
        <w:t>第二十五条第一款的规定</w:t>
      </w:r>
      <w:r>
        <w:rPr>
          <w:rFonts w:hint="eastAsia" w:ascii="仿宋_GB2312" w:hAnsi="仿宋_GB2312" w:eastAsia="仿宋_GB2312" w:cs="仿宋_GB2312"/>
          <w:spacing w:val="0"/>
          <w:sz w:val="32"/>
          <w:szCs w:val="30"/>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仿宋"/>
          <w:color w:val="auto"/>
          <w:sz w:val="32"/>
          <w:szCs w:val="30"/>
          <w:lang w:val="en-US" w:eastAsia="zh-CN"/>
        </w:rPr>
      </w:pPr>
      <w:r>
        <w:rPr>
          <w:rFonts w:hint="eastAsia" w:ascii="仿宋_GB2312" w:hAnsi="仿宋_GB2312" w:eastAsia="仿宋_GB2312" w:cs="仿宋"/>
          <w:color w:val="auto"/>
          <w:sz w:val="32"/>
          <w:szCs w:val="30"/>
          <w:lang w:val="en-US" w:eastAsia="zh-CN"/>
        </w:rPr>
        <w:t>根据《私募办法》第三十三条以及</w:t>
      </w:r>
      <w:r>
        <w:rPr>
          <w:rFonts w:hint="eastAsia" w:ascii="仿宋_GB2312" w:hAnsi="宋体" w:eastAsia="仿宋_GB2312" w:cs="Times New Roman"/>
          <w:b w:val="0"/>
          <w:bCs w:val="0"/>
          <w:spacing w:val="0"/>
          <w:kern w:val="0"/>
          <w:sz w:val="32"/>
          <w:szCs w:val="32"/>
          <w:highlight w:val="none"/>
          <w:lang w:val="en-US" w:eastAsia="zh-CN" w:bidi="ar-SA"/>
        </w:rPr>
        <w:t>《适当性办法》第三十七条</w:t>
      </w:r>
      <w:r>
        <w:rPr>
          <w:rFonts w:hint="eastAsia" w:ascii="仿宋_GB2312" w:hAnsi="仿宋_GB2312" w:eastAsia="仿宋_GB2312" w:cs="仿宋"/>
          <w:color w:val="auto"/>
          <w:sz w:val="32"/>
          <w:szCs w:val="30"/>
          <w:lang w:val="en-US" w:eastAsia="zh-CN"/>
        </w:rPr>
        <w:t>的规定，我局决定对</w:t>
      </w:r>
      <w:r>
        <w:rPr>
          <w:rFonts w:hint="eastAsia" w:ascii="仿宋_GB2312" w:hAnsi="仿宋_GB2312" w:eastAsia="仿宋_GB2312" w:cs="仿宋_GB2312"/>
          <w:b w:val="0"/>
          <w:bCs w:val="0"/>
          <w:sz w:val="32"/>
          <w:lang w:val="en-US" w:eastAsia="zh-CN"/>
        </w:rPr>
        <w:t>你公司</w:t>
      </w:r>
      <w:r>
        <w:rPr>
          <w:rFonts w:hint="eastAsia" w:ascii="仿宋_GB2312" w:hAnsi="仿宋_GB2312" w:eastAsia="仿宋_GB2312" w:cs="仿宋"/>
          <w:color w:val="auto"/>
          <w:sz w:val="32"/>
          <w:szCs w:val="30"/>
          <w:lang w:val="en-US" w:eastAsia="zh-CN"/>
        </w:rPr>
        <w:t>采取责令改正的行政监管措施。</w:t>
      </w:r>
      <w:r>
        <w:rPr>
          <w:rFonts w:hint="eastAsia" w:ascii="仿宋_GB2312" w:hAnsi="仿宋_GB2312" w:eastAsia="仿宋_GB2312" w:cs="仿宋_GB2312"/>
          <w:b w:val="0"/>
          <w:bCs w:val="0"/>
          <w:sz w:val="32"/>
          <w:lang w:val="en-US" w:eastAsia="zh-CN"/>
        </w:rPr>
        <w:t>你公司</w:t>
      </w:r>
      <w:r>
        <w:rPr>
          <w:rFonts w:hint="eastAsia" w:ascii="仿宋_GB2312" w:hAnsi="仿宋_GB2312" w:eastAsia="仿宋_GB2312" w:cs="仿宋_GB2312"/>
          <w:sz w:val="32"/>
        </w:rPr>
        <w:t>应</w:t>
      </w:r>
      <w:r>
        <w:rPr>
          <w:rFonts w:hint="eastAsia" w:ascii="仿宋_GB2312" w:hAnsi="仿宋_GB2312" w:eastAsia="仿宋_GB2312" w:cs="仿宋_GB2312"/>
          <w:sz w:val="32"/>
          <w:lang w:eastAsia="zh-CN"/>
        </w:rPr>
        <w:t>高度重视</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采取切实</w:t>
      </w:r>
      <w:r>
        <w:rPr>
          <w:rFonts w:hint="eastAsia" w:ascii="仿宋_GB2312" w:hAnsi="仿宋_GB2312" w:eastAsia="仿宋_GB2312" w:cs="仿宋_GB2312"/>
          <w:spacing w:val="0"/>
          <w:sz w:val="32"/>
          <w:lang w:eastAsia="zh-CN"/>
        </w:rPr>
        <w:t>有效的措施</w:t>
      </w:r>
      <w:r>
        <w:rPr>
          <w:rFonts w:hint="eastAsia" w:ascii="仿宋_GB2312" w:hAnsi="仿宋_GB2312" w:eastAsia="仿宋_GB2312" w:cs="仿宋_GB2312"/>
          <w:spacing w:val="0"/>
          <w:sz w:val="32"/>
        </w:rPr>
        <w:t>，</w:t>
      </w:r>
      <w:r>
        <w:rPr>
          <w:rFonts w:hint="eastAsia" w:ascii="仿宋_GB2312" w:hAnsi="仿宋_GB2312" w:eastAsia="仿宋_GB2312" w:cs="仿宋_GB2312"/>
          <w:spacing w:val="0"/>
          <w:sz w:val="32"/>
          <w:lang w:eastAsia="zh-CN"/>
        </w:rPr>
        <w:t>对存在的问题进行整改，对相关责任人员进行问责并加强内部合规培训，在收到本决定书之日起</w:t>
      </w:r>
      <w:r>
        <w:rPr>
          <w:rFonts w:hint="eastAsia" w:ascii="仿宋_GB2312" w:hAnsi="仿宋_GB2312" w:eastAsia="仿宋_GB2312" w:cs="仿宋_GB2312"/>
          <w:spacing w:val="0"/>
          <w:sz w:val="32"/>
          <w:lang w:val="en-US" w:eastAsia="zh-CN"/>
        </w:rPr>
        <w:t>30日内</w:t>
      </w:r>
      <w:r>
        <w:rPr>
          <w:rFonts w:hint="eastAsia" w:ascii="仿宋_GB2312" w:hAnsi="仿宋_GB2312" w:eastAsia="仿宋_GB2312" w:cs="仿宋_GB2312"/>
          <w:spacing w:val="0"/>
          <w:sz w:val="32"/>
          <w:lang w:eastAsia="zh-CN"/>
        </w:rPr>
        <w:t>向我局</w:t>
      </w:r>
      <w:r>
        <w:rPr>
          <w:rFonts w:hint="eastAsia" w:ascii="仿宋_GB2312" w:hAnsi="仿宋_GB2312" w:eastAsia="仿宋_GB2312" w:cs="仿宋_GB2312"/>
          <w:spacing w:val="0"/>
          <w:sz w:val="32"/>
        </w:rPr>
        <w:t>提交书面整改报</w:t>
      </w:r>
      <w:r>
        <w:rPr>
          <w:rFonts w:hint="eastAsia" w:ascii="仿宋_GB2312" w:hAnsi="仿宋_GB2312" w:eastAsia="仿宋_GB2312" w:cs="仿宋_GB2312"/>
          <w:sz w:val="32"/>
        </w:rPr>
        <w:t>告</w:t>
      </w:r>
      <w:r>
        <w:rPr>
          <w:rFonts w:hint="eastAsia" w:ascii="仿宋_GB2312" w:hAnsi="仿宋_GB2312" w:eastAsia="仿宋_GB2312" w:cs="仿宋_GB2312"/>
          <w:sz w:val="32"/>
          <w:lang w:eastAsia="zh-CN"/>
        </w:rPr>
        <w:t>。</w:t>
      </w:r>
    </w:p>
    <w:p>
      <w:pPr>
        <w:overflowPunct w:val="0"/>
        <w:adjustRightInd w:val="0"/>
        <w:snapToGrid w:val="0"/>
        <w:spacing w:beforeLines="0" w:afterLines="0" w:line="336"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如果对本监督管理措施不服，可以在收到本决定书之日起60日内向中国证券监督管理委员会提出行政复议申请</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也可以在收到本决定书之日起6个月内向有管辖权的人民法院提起诉讼。复议与诉讼期间，上述监督管理措施不停止执行。</w:t>
      </w: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4"/>
        </w:rPr>
      </w:pPr>
      <w:r>
        <w:rPr>
          <w:rFonts w:hint="eastAsia" w:ascii="仿宋_GB2312" w:hAnsi="Times New Roman" w:eastAsia="仿宋_GB2312" w:cs="Times New Roman"/>
          <w:color w:val="000000"/>
          <w:sz w:val="32"/>
          <w:szCs w:val="24"/>
        </w:rPr>
        <w:t>广东证监局</w:t>
      </w:r>
    </w:p>
    <w:p>
      <w:pPr>
        <w:keepNext w:val="0"/>
        <w:keepLines w:val="0"/>
        <w:pageBreakBefore w:val="0"/>
        <w:widowControl/>
        <w:numPr>
          <w:ilvl w:val="0"/>
          <w:numId w:val="0"/>
        </w:numPr>
        <w:pBdr>
          <w:top w:val="none" w:color="auto" w:sz="0" w:space="0"/>
          <w:bottom w:val="none" w:color="auto" w:sz="0" w:space="0"/>
        </w:pBdr>
        <w:kinsoku/>
        <w:wordWrap/>
        <w:overflowPunct w:val="0"/>
        <w:topLinePunct w:val="0"/>
        <w:autoSpaceDE/>
        <w:autoSpaceDN/>
        <w:bidi w:val="0"/>
        <w:adjustRightInd w:val="0"/>
        <w:snapToGrid w:val="0"/>
        <w:spacing w:beforeLines="0" w:afterLines="0" w:line="360" w:lineRule="auto"/>
        <w:ind w:firstLine="0"/>
        <w:jc w:val="center"/>
        <w:textAlignment w:val="auto"/>
        <w:outlineLvl w:val="9"/>
        <w:rPr>
          <w:rFonts w:hint="eastAsia" w:ascii="仿宋_GB2312" w:hAnsi="Calibri" w:eastAsia="仿宋_GB2312" w:cs="Times New Roman"/>
          <w:spacing w:val="8"/>
          <w:sz w:val="2"/>
          <w:szCs w:val="2"/>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6</w:t>
      </w:r>
      <w:r>
        <w:rPr>
          <w:rFonts w:hint="eastAsia" w:ascii="仿宋_GB2312" w:hAnsi="Times New Roman" w:eastAsia="仿宋_GB2312" w:cs="Times New Roman"/>
          <w:color w:val="000000"/>
          <w:spacing w:val="10"/>
          <w:sz w:val="32"/>
          <w:szCs w:val="32"/>
        </w:rPr>
        <w:t>年</w:t>
      </w:r>
      <w:r>
        <w:rPr>
          <w:rFonts w:hint="default" w:ascii="仿宋_GB2312" w:hAnsi="Calibri" w:eastAsia="仿宋_GB2312" w:cs="Times New Roman"/>
          <w:color w:val="000000"/>
          <w:spacing w:val="10"/>
          <w:sz w:val="32"/>
          <w:szCs w:val="32"/>
          <w:lang w:val="en-US" w:eastAsia="zh-CN"/>
        </w:rPr>
        <w:t>4</w:t>
      </w:r>
      <w:r>
        <w:rPr>
          <w:rFonts w:hint="eastAsia" w:ascii="仿宋_GB2312" w:hAnsi="Times New Roman" w:eastAsia="仿宋_GB2312" w:cs="Times New Roman"/>
          <w:color w:val="000000"/>
          <w:spacing w:val="10"/>
          <w:sz w:val="32"/>
          <w:szCs w:val="32"/>
        </w:rPr>
        <w:t>月</w:t>
      </w:r>
      <w:r>
        <w:rPr>
          <w:rFonts w:hint="default" w:ascii="仿宋_GB2312" w:hAnsi="Calibri" w:eastAsia="宋体" w:cs="Times New Roman"/>
          <w:color w:val="000000"/>
          <w:spacing w:val="10"/>
          <w:sz w:val="32"/>
          <w:szCs w:val="32"/>
          <w:lang w:val="en-US" w:eastAsia="zh-CN"/>
        </w:rPr>
        <w:t>17</w:t>
      </w:r>
      <w:r>
        <w:rPr>
          <w:rFonts w:hint="eastAsia" w:ascii="仿宋_GB2312" w:hAnsi="Times New Roman" w:eastAsia="仿宋_GB2312" w:cs="Times New Roman"/>
          <w:color w:val="000000"/>
          <w:spacing w:val="10"/>
          <w:sz w:val="32"/>
          <w:szCs w:val="32"/>
        </w:rPr>
        <w:t>日</w:t>
      </w:r>
    </w:p>
    <w:p>
      <w:pPr>
        <w:snapToGrid w:val="0"/>
        <w:spacing w:line="360" w:lineRule="auto"/>
        <w:ind w:right="28"/>
        <w:jc w:val="left"/>
        <w:rPr>
          <w:rFonts w:ascii="黑体" w:hAnsi="Calibri" w:eastAsia="黑体" w:cs="Times New Roman"/>
          <w:spacing w:val="8"/>
          <w:sz w:val="32"/>
          <w:szCs w:val="32"/>
        </w:rPr>
      </w:pPr>
    </w:p>
    <w:p>
      <w:pPr>
        <w:snapToGrid w:val="0"/>
        <w:spacing w:line="360" w:lineRule="auto"/>
        <w:ind w:right="28"/>
        <w:jc w:val="left"/>
        <w:rPr>
          <w:rFonts w:ascii="黑体" w:hAnsi="Calibri" w:eastAsia="黑体" w:cs="Times New Roman"/>
          <w:spacing w:val="8"/>
          <w:sz w:val="32"/>
          <w:szCs w:val="32"/>
        </w:rPr>
      </w:pPr>
    </w:p>
    <w:p>
      <w:pPr>
        <w:snapToGrid w:val="0"/>
        <w:spacing w:line="360" w:lineRule="auto"/>
        <w:ind w:right="28"/>
        <w:jc w:val="left"/>
        <w:rPr>
          <w:rFonts w:hint="eastAsia" w:ascii="黑体" w:hAnsi="Calibri" w:eastAsia="宋体" w:cs="Times New Roman"/>
          <w:spacing w:val="8"/>
          <w:sz w:val="21"/>
          <w:szCs w:val="21"/>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jc w:val="both"/>
        <w:textAlignment w:val="auto"/>
        <w:rPr>
          <w:rFonts w:hint="eastAsia" w:ascii="仿宋_GB2312" w:hAnsi="Calibri" w:eastAsia="仿宋_GB2312" w:cs="Times New Roman"/>
          <w:spacing w:val="8"/>
          <w:kern w:val="2"/>
          <w:sz w:val="28"/>
          <w:szCs w:val="24"/>
          <w:lang w:val="en-US" w:eastAsia="zh-CN" w:bidi="ar-SA"/>
        </w:rPr>
      </w:pPr>
      <w:r>
        <w:rPr>
          <w:rFonts w:hint="eastAsia" w:ascii="仿宋_GB2312" w:hAnsi="Calibri" w:eastAsia="仿宋_GB2312" w:cs="Times New Roman"/>
          <w:spacing w:val="8"/>
          <w:kern w:val="2"/>
          <w:sz w:val="28"/>
          <w:szCs w:val="24"/>
          <w:lang w:val="en-US" w:eastAsia="zh-CN" w:bidi="ar-SA"/>
        </w:rPr>
        <w:t>抄送：证监会市场二司，法治司；中国证券投资基金业协会。</w:t>
      </w:r>
    </w:p>
    <w:p>
      <w:pPr>
        <w:pBdr>
          <w:top w:val="single" w:color="auto" w:sz="4" w:space="6"/>
        </w:pBdr>
        <w:adjustRightInd w:val="0"/>
        <w:snapToGrid w:val="0"/>
        <w:spacing w:after="109" w:afterLines="35"/>
        <w:ind w:firstLine="318"/>
        <w:jc w:val="left"/>
        <w:rPr>
          <w:rFonts w:hint="eastAsia" w:ascii="仿宋_GB2312" w:hAnsi="Calibri" w:eastAsia="仿宋_GB2312" w:cs="Times New Roman"/>
          <w:spacing w:val="8"/>
          <w:sz w:val="28"/>
          <w:szCs w:val="24"/>
        </w:rPr>
      </w:pPr>
      <w:r>
        <w:rPr>
          <w:rFonts w:hint="eastAsia" w:ascii="仿宋_GB2312" w:hAnsi="Calibri" w:eastAsia="仿宋_GB2312" w:cs="Times New Roman"/>
          <w:spacing w:val="8"/>
          <w:sz w:val="28"/>
          <w:szCs w:val="24"/>
        </w:rPr>
        <w:t xml:space="preserve">广东证监局办公室             </w:t>
      </w:r>
      <w:r>
        <w:rPr>
          <w:rFonts w:hint="default" w:ascii="仿宋_GB2312" w:hAnsi="Calibri" w:eastAsia="仿宋_GB2312" w:cs="Times New Roman"/>
          <w:spacing w:val="8"/>
          <w:sz w:val="28"/>
          <w:szCs w:val="24"/>
          <w:lang w:val="en-US"/>
        </w:rPr>
        <w:t xml:space="preserve"> </w:t>
      </w:r>
      <w:r>
        <w:rPr>
          <w:rFonts w:hint="eastAsia" w:ascii="仿宋_GB2312" w:hAnsi="Calibri" w:eastAsia="仿宋_GB2312" w:cs="Times New Roman"/>
          <w:spacing w:val="8"/>
          <w:sz w:val="28"/>
          <w:szCs w:val="24"/>
        </w:rPr>
        <w:t xml:space="preserve"> </w:t>
      </w:r>
      <w:r>
        <w:rPr>
          <w:rFonts w:hint="default" w:ascii="仿宋_GB2312" w:hAnsi="Calibri" w:eastAsia="仿宋_GB2312" w:cs="Times New Roman"/>
          <w:spacing w:val="8"/>
          <w:sz w:val="28"/>
          <w:szCs w:val="24"/>
          <w:lang w:val="en-US"/>
        </w:rPr>
        <w:t xml:space="preserve">   </w:t>
      </w:r>
      <w:r>
        <w:rPr>
          <w:rFonts w:hint="eastAsia" w:ascii="仿宋_GB2312" w:hAnsi="Calibri" w:eastAsia="仿宋_GB2312" w:cs="Times New Roman"/>
          <w:spacing w:val="8"/>
          <w:sz w:val="28"/>
          <w:szCs w:val="24"/>
        </w:rPr>
        <w:t xml:space="preserve"> </w:t>
      </w:r>
      <w:r>
        <w:rPr>
          <w:rFonts w:hint="default" w:ascii="仿宋_GB2312" w:hAnsi="Calibri" w:eastAsia="仿宋_GB2312" w:cs="Times New Roman"/>
          <w:spacing w:val="8"/>
          <w:sz w:val="28"/>
          <w:szCs w:val="24"/>
          <w:lang w:val="en" w:eastAsia="zh-CN"/>
        </w:rPr>
        <w:t>202</w:t>
      </w:r>
      <w:r>
        <w:rPr>
          <w:rFonts w:hint="eastAsia" w:ascii="仿宋_GB2312" w:hAnsi="Calibri" w:eastAsia="仿宋_GB2312" w:cs="Times New Roman"/>
          <w:spacing w:val="8"/>
          <w:sz w:val="28"/>
          <w:szCs w:val="24"/>
          <w:lang w:val="en-US" w:eastAsia="zh-CN"/>
        </w:rPr>
        <w:t>6</w:t>
      </w:r>
      <w:r>
        <w:rPr>
          <w:rFonts w:hint="eastAsia" w:ascii="仿宋_GB2312" w:hAnsi="Calibri" w:eastAsia="仿宋_GB2312" w:cs="Times New Roman"/>
          <w:spacing w:val="8"/>
          <w:sz w:val="28"/>
          <w:szCs w:val="24"/>
        </w:rPr>
        <w:t>年</w:t>
      </w:r>
      <w:r>
        <w:rPr>
          <w:rFonts w:hint="eastAsia" w:ascii="仿宋_GB2312" w:hAnsi="Calibri" w:eastAsia="仿宋_GB2312" w:cs="Times New Roman"/>
          <w:spacing w:val="8"/>
          <w:sz w:val="28"/>
          <w:szCs w:val="24"/>
          <w:lang w:val="en-US" w:eastAsia="zh-CN"/>
        </w:rPr>
        <w:t>4</w:t>
      </w:r>
      <w:r>
        <w:rPr>
          <w:rFonts w:hint="eastAsia" w:ascii="仿宋_GB2312" w:hAnsi="Calibri" w:eastAsia="仿宋_GB2312" w:cs="Times New Roman"/>
          <w:spacing w:val="8"/>
          <w:sz w:val="28"/>
          <w:szCs w:val="24"/>
        </w:rPr>
        <w:t>月</w:t>
      </w:r>
      <w:r>
        <w:rPr>
          <w:rFonts w:hint="default" w:ascii="仿宋_GB2312" w:hAnsi="Calibri" w:eastAsia="仿宋_GB2312" w:cs="Times New Roman"/>
          <w:spacing w:val="8"/>
          <w:sz w:val="28"/>
          <w:szCs w:val="24"/>
          <w:lang w:val="en-US" w:eastAsia="zh-CN"/>
        </w:rPr>
        <w:t>17</w:t>
      </w:r>
      <w:r>
        <w:rPr>
          <w:rFonts w:hint="eastAsia" w:ascii="仿宋_GB2312" w:hAnsi="Calibri" w:eastAsia="仿宋_GB2312" w:cs="Times New Roman"/>
          <w:spacing w:val="8"/>
          <w:sz w:val="28"/>
          <w:szCs w:val="24"/>
        </w:rPr>
        <w:t>日印发</w:t>
      </w:r>
    </w:p>
    <w:bookmarkEnd w:id="1"/>
    <w:p>
      <w:pPr>
        <w:pBdr>
          <w:top w:val="single" w:color="auto" w:sz="8" w:space="7"/>
        </w:pBdr>
        <w:overflowPunct w:val="0"/>
        <w:adjustRightInd w:val="0"/>
        <w:snapToGrid w:val="0"/>
        <w:spacing w:beforeLines="0" w:after="0" w:afterLines="0"/>
        <w:ind w:firstLine="0"/>
        <w:jc w:val="left"/>
        <w:rPr>
          <w:rFonts w:hint="eastAsia" w:ascii="仿宋_GB2312" w:hAnsi="Calibri" w:eastAsia="仿宋_GB2312" w:cs="Times New Roman"/>
          <w:spacing w:val="8"/>
          <w:sz w:val="2"/>
          <w:szCs w:val="2"/>
        </w:rPr>
      </w:pPr>
    </w:p>
    <w:sectPr>
      <w:footerReference r:id="rId3" w:type="default"/>
      <w:pgSz w:w="11906" w:h="16838"/>
      <w:pgMar w:top="2097" w:right="1474" w:bottom="1984" w:left="1587" w:header="851" w:footer="158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1F00FF" w:csb1="F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ihRmPNEAAACUAQAACwAAAAAAAAABACAAAACwAwAAX3Jl&#10;bHMvLnJlbHNQSwECFAAUAAAACACHTuJAfublIPcAAADhAQAAEwAAAAAAAAABACAAAACqBAAAW0Nv&#10;bnRlbnRfVHlwZXNdLnhtbFBLAQIUAAoAAAAAAIdO4kAAAAAAAAAAAAAAAAAGAAAAAAAAAAAAEAAA&#10;AIwDAABfcmVscy9QSwECFAAUAAAACACHTuJABWGMPysCAABVBAAADgAAAAAAAAABACAAAAA1AQAA&#10;ZHJzL2Uyb0RvYy54bWxQSwECFAAUAAAACACHTuJAs0lY7tAAAAAFAQAADwAAAAAAAAABACAAAAA4&#10;AAAAZHJzL2Rvd25yZXYueG1sUEsBAhQACgAAAAAAh07iQAAAAAAAAAAAAAAAAAQAAAAAAAAAAAAQ&#10;AAAAFgAAAGRycy9QSwUGAAAAAAYABgBZAQAA0gUAAAAA&#10;">
              <v:fill on="f" focussize="0,0"/>
              <v:stroke on="f" weight="0.5pt"/>
              <v:imagedata o:title=""/>
              <o:lock v:ext="edit" aspectratio="f"/>
              <v:textbox inset="0mm,0mm,0mm,0mm" style="mso-fit-shape-to-text:t;">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F71FE0"/>
    <w:rsid w:val="3A7E851D"/>
    <w:rsid w:val="3FFFFE9A"/>
    <w:rsid w:val="58FE2760"/>
    <w:rsid w:val="5CFD0D40"/>
    <w:rsid w:val="5FE7AA59"/>
    <w:rsid w:val="697DB0DC"/>
    <w:rsid w:val="6FF6F5A9"/>
    <w:rsid w:val="7B5DA1D0"/>
    <w:rsid w:val="7FBEA882"/>
    <w:rsid w:val="7FFF4EC5"/>
    <w:rsid w:val="99BDA65D"/>
    <w:rsid w:val="9BF71FE0"/>
    <w:rsid w:val="AF2F607D"/>
    <w:rsid w:val="B7EF8907"/>
    <w:rsid w:val="C1F6B940"/>
    <w:rsid w:val="C974C1C3"/>
    <w:rsid w:val="CFC71178"/>
    <w:rsid w:val="DFEFAF6A"/>
    <w:rsid w:val="E3EF9B0C"/>
    <w:rsid w:val="ED3509CD"/>
    <w:rsid w:val="FB4FFD70"/>
    <w:rsid w:val="FBBC35C9"/>
    <w:rsid w:val="FDFFBA6B"/>
    <w:rsid w:val="FFFD4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jc w:val="center"/>
    </w:pPr>
    <w:rPr>
      <w:rFonts w:eastAsia="黑体"/>
      <w:kern w:val="0"/>
      <w:sz w:val="44"/>
    </w:r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ormalIndent"/>
    <w:basedOn w:val="1"/>
    <w:next w:val="1"/>
    <w:qFormat/>
    <w:uiPriority w:val="0"/>
    <w:pPr>
      <w:ind w:firstLine="880" w:firstLineChars="200"/>
      <w:textAlignment w:val="baseline"/>
    </w:pPr>
    <w:rPr>
      <w:kern w:val="0"/>
    </w:rPr>
  </w:style>
  <w:style w:type="paragraph" w:customStyle="1" w:styleId="8">
    <w:name w:val="p0"/>
    <w:basedOn w:val="1"/>
    <w:qFormat/>
    <w:uiPriority w:val="0"/>
    <w:pPr>
      <w:widowControl/>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646</Words>
  <Characters>668</Characters>
  <Lines>0</Lines>
  <Paragraphs>0</Paragraphs>
  <TotalTime>0</TotalTime>
  <ScaleCrop>false</ScaleCrop>
  <LinksUpToDate>false</LinksUpToDate>
  <CharactersWithSpaces>709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2026-04-13T00:40:00Z</dcterms:created>
  <dc:creator>卢俊宏：承办人拟稿</dc:creator>
  <cp:lastModifiedBy>卢俊宏：承办人拟稿</cp:lastModifiedBy>
  <dcterms:modified xsi:type="dcterms:W3CDTF">2026-04-20T13:43:57Z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8FE71313C89225D8E3BCE569D779E44E</vt:lpwstr>
  </property>
</Properties>
</file>