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98830"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 w14:paraId="61BB91F5"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 w14:paraId="0BF7974D"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 w14:paraId="7C8ADE49"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52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 w14:paraId="7A4EC29F"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C+1ktYAAAAIAQAADwAAAAAAAAABACAAAAAiAAAAZHJzL2Rvd25yZXYu&#10;eG1sUEsBAhQAFAAAAAgAh07iQBXy5mP9AQAA9QMAAA4AAAAAAAAAAQAgAAAAJQEAAGRycy9lMm9E&#10;b2MueG1sUEsFBgAAAAAGAAYAWQEAAJQ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F836E8D">
      <w:pPr>
        <w:jc w:val="center"/>
        <w:rPr>
          <w:rFonts w:hint="eastAsia" w:ascii="Times New Roman" w:hAnsi="Times New Roman" w:cs="Times New Roman"/>
          <w:sz w:val="28"/>
          <w:szCs w:val="28"/>
        </w:rPr>
      </w:pPr>
    </w:p>
    <w:p w14:paraId="7FBF8C96">
      <w:pPr>
        <w:snapToGrid w:val="0"/>
        <w:spacing w:line="240" w:lineRule="auto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bookmarkStart w:id="1" w:name="quanwen"/>
      <w:r>
        <w:rPr>
          <w:rFonts w:hint="eastAsia" w:ascii="方正小标宋简体" w:hAnsi="Calibri" w:eastAsia="方正小标宋简体" w:cs="Times New Roman"/>
          <w:sz w:val="44"/>
          <w:szCs w:val="44"/>
        </w:rPr>
        <w:t>关于对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" w:eastAsia="zh-CN"/>
        </w:rPr>
        <w:t>翟陈明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采取出具警示函措施的决定</w:t>
      </w:r>
    </w:p>
    <w:p w14:paraId="4CA9F5AB">
      <w:pPr>
        <w:widowControl w:val="0"/>
        <w:adjustRightInd w:val="0"/>
        <w:snapToGrid w:val="0"/>
        <w:spacing w:line="240" w:lineRule="auto"/>
        <w:jc w:val="both"/>
        <w:rPr>
          <w:rFonts w:hint="eastAsia" w:ascii="方正小标宋简体" w:hAnsi="方正小标宋简体" w:eastAsia="方正小标宋简体" w:cs="Times New Roman"/>
          <w:kern w:val="2"/>
          <w:sz w:val="32"/>
          <w:szCs w:val="32"/>
          <w:highlight w:val="none"/>
        </w:rPr>
      </w:pPr>
    </w:p>
    <w:p w14:paraId="566A5964">
      <w:pPr>
        <w:overflowPunct w:val="0"/>
        <w:snapToGrid w:val="0"/>
        <w:spacing w:line="336" w:lineRule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翟陈明：</w:t>
      </w:r>
    </w:p>
    <w:p w14:paraId="47D1FE94">
      <w:pPr>
        <w:widowControl/>
        <w:overflowPunct w:val="0"/>
        <w:autoSpaceDN/>
        <w:snapToGrid w:val="0"/>
        <w:spacing w:line="336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经查，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你在广州期货股份有限公司从业期间，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未取得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期货交易咨询业务资格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，在互联网营销过程中开展期货行情分析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，该行为违反了《证券、期货投资咨询管理暂行办法》（证委发〔1997〕96号）第十二条第二款、《期货公司期货交易咨询业务办法（2022年修正）》（证监会令第202号）第三条、《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期货从业人员管理办法》（证监会令第48号）第十五条第三项等规定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</w:p>
    <w:p w14:paraId="04960923">
      <w:pPr>
        <w:widowControl/>
        <w:overflowPunct w:val="0"/>
        <w:autoSpaceDN/>
        <w:snapToGrid w:val="0"/>
        <w:spacing w:line="336" w:lineRule="auto"/>
        <w:ind w:firstLine="640" w:firstLineChars="200"/>
        <w:jc w:val="both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根据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期货从业人员管理办法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》第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二十九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条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规定，</w:t>
      </w:r>
      <w:r>
        <w:rPr>
          <w:rFonts w:hint="eastAsia" w:ascii="仿宋_GB2312" w:hAnsi="Calibri" w:eastAsia="仿宋_GB2312" w:cs="Calibri"/>
          <w:kern w:val="0"/>
          <w:sz w:val="32"/>
          <w:szCs w:val="32"/>
          <w:highlight w:val="none"/>
          <w:lang w:val="en-US" w:eastAsia="zh-CN" w:bidi="ar-SA"/>
        </w:rPr>
        <w:t>我局决定对</w:t>
      </w:r>
      <w:r>
        <w:rPr>
          <w:rFonts w:hint="eastAsia" w:ascii="仿宋_GB2312" w:hAnsi="Calibri" w:eastAsia="仿宋_GB2312" w:cs="Times New Roman"/>
          <w:sz w:val="32"/>
          <w:szCs w:val="32"/>
          <w:lang w:val="en" w:eastAsia="zh-CN"/>
        </w:rPr>
        <w:t>你</w:t>
      </w:r>
      <w:r>
        <w:rPr>
          <w:rFonts w:hint="eastAsia" w:ascii="仿宋_GB2312" w:hAnsi="Calibri" w:eastAsia="仿宋_GB2312" w:cs="Calibri"/>
          <w:kern w:val="0"/>
          <w:sz w:val="32"/>
          <w:szCs w:val="32"/>
          <w:highlight w:val="none"/>
          <w:lang w:val="en-US" w:eastAsia="zh-CN" w:bidi="ar-SA"/>
        </w:rPr>
        <w:t>采取出具警示函的行政监管措施。</w:t>
      </w:r>
    </w:p>
    <w:p w14:paraId="749D51A7">
      <w:pPr>
        <w:overflowPunct w:val="0"/>
        <w:snapToGrid w:val="0"/>
        <w:spacing w:line="336" w:lineRule="auto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如果对本</w:t>
      </w:r>
      <w:r>
        <w:rPr>
          <w:rFonts w:hint="eastAsia" w:ascii="仿宋_GB2312" w:hAnsi="仿宋_GB2312" w:eastAsia="仿宋_GB2312" w:cs="Times New Roman"/>
          <w:sz w:val="32"/>
          <w:szCs w:val="32"/>
        </w:rPr>
        <w:t>行政监管措施</w:t>
      </w:r>
      <w:r>
        <w:rPr>
          <w:rFonts w:hint="eastAsia" w:ascii="仿宋_GB2312" w:hAnsi="Calibri" w:eastAsia="仿宋_GB2312" w:cs="Times New Roman"/>
          <w:sz w:val="32"/>
          <w:szCs w:val="32"/>
        </w:rPr>
        <w:t>不服，可以在收到本决定书之日起60日内向中国证券监督管理委员会提出行政复议申请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Calibri" w:eastAsia="仿宋_GB2312" w:cs="Times New Roman"/>
          <w:sz w:val="32"/>
          <w:szCs w:val="32"/>
        </w:rPr>
        <w:t>也可以在收到本决定书之日起6个月内向有管辖权的人民法院提起诉讼。复议与诉讼期间，上述</w:t>
      </w:r>
      <w:r>
        <w:rPr>
          <w:rFonts w:hint="eastAsia" w:ascii="仿宋_GB2312" w:hAnsi="仿宋_GB2312" w:eastAsia="仿宋_GB2312" w:cs="Times New Roman"/>
          <w:sz w:val="32"/>
          <w:szCs w:val="32"/>
        </w:rPr>
        <w:t>行政监管措施</w:t>
      </w:r>
      <w:r>
        <w:rPr>
          <w:rFonts w:hint="eastAsia" w:ascii="仿宋_GB2312" w:hAnsi="Calibri" w:eastAsia="仿宋_GB2312" w:cs="Times New Roman"/>
          <w:sz w:val="32"/>
          <w:szCs w:val="32"/>
        </w:rPr>
        <w:t>不停止执行。</w:t>
      </w:r>
    </w:p>
    <w:p w14:paraId="328043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 w14:paraId="6490E1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 w14:paraId="1C72E7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 w14:paraId="40818EA7"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 w14:paraId="4459F3EA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0"/>
        <w:jc w:val="center"/>
        <w:textAlignment w:val="auto"/>
        <w:outlineLvl w:val="9"/>
        <w:rPr>
          <w:rFonts w:hint="eastAsia" w:ascii="仿宋_GB2312" w:hAnsi="Calibri" w:eastAsia="仿宋_GB2312" w:cs="Times New Roman"/>
          <w:spacing w:val="8"/>
          <w:sz w:val="2"/>
          <w:szCs w:val="2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Calibri" w:eastAsia="宋体" w:cs="Times New Roman"/>
          <w:color w:val="000000"/>
          <w:spacing w:val="10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 w14:paraId="7A1AC9B4">
      <w:pPr>
        <w:snapToGrid w:val="0"/>
        <w:spacing w:line="360" w:lineRule="auto"/>
        <w:ind w:right="28"/>
        <w:jc w:val="left"/>
        <w:rPr>
          <w:rFonts w:ascii="黑体" w:hAnsi="Calibri" w:eastAsia="黑体" w:cs="Times New Roman"/>
          <w:spacing w:val="8"/>
          <w:sz w:val="32"/>
          <w:szCs w:val="32"/>
        </w:rPr>
      </w:pPr>
    </w:p>
    <w:p w14:paraId="195F8D2F">
      <w:pPr>
        <w:snapToGrid w:val="0"/>
        <w:spacing w:line="360" w:lineRule="auto"/>
        <w:ind w:right="28"/>
        <w:jc w:val="left"/>
        <w:rPr>
          <w:rFonts w:ascii="黑体" w:hAnsi="Calibri" w:eastAsia="黑体" w:cs="Times New Roman"/>
          <w:spacing w:val="8"/>
          <w:sz w:val="32"/>
          <w:szCs w:val="32"/>
        </w:rPr>
      </w:pPr>
    </w:p>
    <w:p w14:paraId="13740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4C12D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6F8EE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0327C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279D6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083CE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31D46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396B9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  <w:bookmarkStart w:id="2" w:name="_GoBack"/>
      <w:bookmarkEnd w:id="2"/>
    </w:p>
    <w:p w14:paraId="3DF87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18"/>
          <w:szCs w:val="18"/>
        </w:rPr>
      </w:pPr>
    </w:p>
    <w:p w14:paraId="788CECDD">
      <w:pPr>
        <w:snapToGrid w:val="0"/>
        <w:spacing w:line="360" w:lineRule="auto"/>
        <w:ind w:right="28"/>
        <w:jc w:val="left"/>
        <w:rPr>
          <w:rFonts w:hint="eastAsia" w:ascii="黑体" w:hAnsi="Calibri" w:eastAsia="黑体" w:cs="Times New Roman"/>
          <w:spacing w:val="8"/>
          <w:sz w:val="18"/>
          <w:szCs w:val="18"/>
        </w:rPr>
      </w:pPr>
    </w:p>
    <w:p w14:paraId="4DBD7F13"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hAnsi="Calibri" w:eastAsia="仿宋_GB2312" w:cs="Times New Roman"/>
          <w:spacing w:val="8"/>
          <w:sz w:val="28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抄送：证监会期货司、法治司；中国期货业协会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lang w:eastAsia="zh-CN"/>
        </w:rPr>
        <w:t>。</w:t>
      </w:r>
    </w:p>
    <w:p w14:paraId="086C7552"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广东证监局办公室     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" w:eastAsia="zh-CN"/>
        </w:rPr>
        <w:t>202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年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13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日印发</w:t>
      </w:r>
    </w:p>
    <w:bookmarkEnd w:id="1"/>
    <w:p w14:paraId="10C03493"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hAnsi="Calibri" w:eastAsia="仿宋_GB2312" w:cs="Times New Roman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44873">
    <w:pPr>
      <w:pStyle w:val="2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B9851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CB9851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D2E89"/>
    <w:rsid w:val="1FCC3D08"/>
    <w:rsid w:val="53AE1C96"/>
    <w:rsid w:val="5FBE1E8C"/>
    <w:rsid w:val="6B57D6C4"/>
    <w:rsid w:val="6DF61DA2"/>
    <w:rsid w:val="7C6F2555"/>
    <w:rsid w:val="BD7FD07B"/>
    <w:rsid w:val="BF5E608F"/>
    <w:rsid w:val="DF7D2E89"/>
    <w:rsid w:val="EEBF588C"/>
    <w:rsid w:val="F2FB51C6"/>
    <w:rsid w:val="FDFB8E5B"/>
    <w:rsid w:val="FECBCC41"/>
    <w:rsid w:val="FFD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Indent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Times New Roman"/>
      <w:kern w:val="0"/>
      <w:sz w:val="21"/>
      <w:szCs w:val="24"/>
      <w:lang w:val="en-US" w:eastAsia="zh-CN" w:bidi="ar-SA"/>
    </w:rPr>
  </w:style>
  <w:style w:type="paragraph" w:customStyle="1" w:styleId="7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2026-04-05T23:56:00Z</dcterms:created>
  <dc:creator>吴畅</dc:creator>
  <cp:lastModifiedBy>练巧春</cp:lastModifiedBy>
  <dcterms:modified xsi:type="dcterms:W3CDTF">2026-05-08T18:16:34Z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1CB3E81ABAD22DEF152EFC69D4227F42</vt:lpwstr>
  </property>
</Properties>
</file>