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</w:tabs>
        <w:jc w:val="center"/>
        <w:rPr>
          <w:rFonts w:hint="eastAsia" w:ascii="方正小标宋简体" w:hAnsi="方正小标宋简体" w:eastAsia="方正小标宋简体" w:cs="Times New Roman"/>
          <w:b/>
          <w:color w:val="FF0000"/>
          <w:w w:val="95"/>
          <w:kern w:val="0"/>
          <w:sz w:val="44"/>
          <w:szCs w:val="116"/>
        </w:rPr>
      </w:pPr>
      <w:r>
        <w:rPr>
          <w:rFonts w:hint="eastAsia" w:ascii="方正小标宋简体" w:hAnsi="方正小标宋简体" w:eastAsia="方正小标宋简体" w:cs="黑体"/>
          <w:b/>
          <w:color w:val="FF0000"/>
          <w:w w:val="95"/>
          <w:sz w:val="44"/>
          <w:szCs w:val="72"/>
        </w:rPr>
        <w:t>中国证券监督管理委员会广东监管局</w:t>
      </w:r>
    </w:p>
    <w:p>
      <w:pPr>
        <w:jc w:val="center"/>
        <w:rPr>
          <w:rFonts w:hint="eastAsia" w:ascii="方正小标宋简体" w:hAnsi="方正小标宋简体" w:eastAsia="方正小标宋简体" w:cs="Times New Roman"/>
          <w:snapToGrid w:val="0"/>
          <w:spacing w:val="85"/>
          <w:w w:val="90"/>
          <w:sz w:val="72"/>
          <w:szCs w:val="72"/>
        </w:rPr>
      </w:pPr>
      <w:r>
        <w:rPr>
          <w:rFonts w:hint="eastAsia" w:ascii="方正小标宋简体" w:hAnsi="方正小标宋简体" w:eastAsia="方正小标宋简体" w:cs="Times New Roman"/>
          <w:b/>
          <w:bCs/>
          <w:snapToGrid w:val="0"/>
          <w:color w:val="FF0000"/>
          <w:spacing w:val="85"/>
          <w:w w:val="90"/>
          <w:sz w:val="72"/>
          <w:szCs w:val="72"/>
        </w:rPr>
        <w:t>行政监管措施决定书</w:t>
      </w:r>
    </w:p>
    <w:p>
      <w:pPr>
        <w:snapToGrid w:val="0"/>
        <w:jc w:val="center"/>
        <w:rPr>
          <w:rFonts w:hint="eastAsia" w:ascii="仿宋_GB2312" w:hAnsi="仿宋_GB2312" w:eastAsia="仿宋_GB2312" w:cs="宋体"/>
          <w:sz w:val="22"/>
          <w:szCs w:val="22"/>
        </w:rPr>
      </w:pPr>
    </w:p>
    <w:p>
      <w:pPr>
        <w:snapToGrid w:val="0"/>
        <w:spacing w:before="156" w:beforeLines="50" w:line="300" w:lineRule="auto"/>
        <w:jc w:val="center"/>
        <w:rPr>
          <w:rFonts w:ascii="黑体" w:hAnsi="Times New Roman" w:eastAsia="黑体" w:cs="Times New Roman"/>
          <w:color w:val="000000"/>
          <w:spacing w:val="12"/>
          <w:sz w:val="32"/>
          <w:szCs w:val="20"/>
        </w:rPr>
      </w:pPr>
      <w:bookmarkStart w:id="0" w:name="WH"/>
      <w:bookmarkEnd w:id="0"/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szCs w:val="20"/>
        </w:rPr>
        <w:t>〔20</w:t>
      </w:r>
      <w:r>
        <w:rPr>
          <w:rFonts w:hint="default" w:ascii="仿宋_GB2312" w:hAnsi="Times New Roman" w:eastAsia="仿宋_GB2312" w:cs="Times New Roman"/>
          <w:color w:val="000000"/>
          <w:spacing w:val="12"/>
          <w:sz w:val="28"/>
          <w:szCs w:val="20"/>
          <w:lang w:val="en-US"/>
        </w:rPr>
        <w:t>26</w:t>
      </w:r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szCs w:val="20"/>
        </w:rPr>
        <w:t>〕</w:t>
      </w:r>
      <w:r>
        <w:rPr>
          <w:rFonts w:hint="default" w:ascii="仿宋_GB2312" w:hAnsi="Times New Roman" w:eastAsia="仿宋_GB2312" w:cs="Times New Roman"/>
          <w:color w:val="000000"/>
          <w:spacing w:val="12"/>
          <w:sz w:val="28"/>
          <w:szCs w:val="20"/>
          <w:lang w:val="en-US"/>
        </w:rPr>
        <w:t>42</w:t>
      </w:r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szCs w:val="20"/>
        </w:rPr>
        <w:t>号</w:t>
      </w:r>
    </w:p>
    <w:p>
      <w:pPr>
        <w:snapToGrid w:val="0"/>
        <w:jc w:val="center"/>
        <w:rPr>
          <w:rFonts w:hint="eastAsia" w:ascii="仿宋_GB2312" w:hAnsi="仿宋_GB2312" w:eastAsia="仿宋_GB2312" w:cs="Times New Roman"/>
          <w:sz w:val="28"/>
          <w:szCs w:val="28"/>
        </w:rPr>
      </w:pPr>
      <w:bookmarkStart w:id="2" w:name="_GoBack"/>
      <w:bookmarkEnd w:id="2"/>
      <w:r>
        <w:rPr>
          <w:rFonts w:ascii="Times New Roman" w:hAnsi="Times New Roman" w:eastAsia="宋体" w:cs="Times New Roman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80645</wp:posOffset>
                </wp:positionH>
                <wp:positionV relativeFrom="paragraph">
                  <wp:posOffset>128905</wp:posOffset>
                </wp:positionV>
                <wp:extent cx="5551805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180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.35pt;margin-top:10.15pt;height:0.05pt;width:437.15pt;z-index:251659264;mso-width-relative:page;mso-height-relative:page;" filled="f" stroked="t" coordsize="21600,21600" o:gfxdata="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WAAAAZHJzL1BLAQIU&#10;ABQAAAAIAIdO4kDML7WS1gAAAAgBAAAPAAAAAAAAAAEAIAAAADgAAABkcnMvZG93bnJldi54bWxQ&#10;SwECFAAUAAAACACHTuJAIhmvX+MBAACqAwAADgAAAAAAAAABACAAAAA7AQAAZHJzL2Uyb0RvYy54&#10;bWxQSwUGAAAAAAYABgBZAQAAkAUAAAAA&#10;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 w:ascii="Times New Roman" w:hAnsi="Times New Roman" w:eastAsia="宋体" w:cs="Times New Roman"/>
          <w:sz w:val="28"/>
          <w:szCs w:val="28"/>
        </w:rPr>
      </w:pPr>
    </w:p>
    <w:p>
      <w:pPr>
        <w:widowControl w:val="0"/>
        <w:pBdr>
          <w:bottom w:val="none" w:color="auto" w:sz="0" w:space="0"/>
        </w:pBdr>
        <w:tabs>
          <w:tab w:val="left" w:pos="420"/>
        </w:tabs>
        <w:overflowPunct w:val="0"/>
        <w:adjustRightInd w:val="0"/>
        <w:snapToGrid w:val="0"/>
        <w:spacing w:afterLines="0" w:line="240" w:lineRule="auto"/>
        <w:jc w:val="center"/>
        <w:rPr>
          <w:rFonts w:hint="eastAsia" w:ascii="方正小标宋简体" w:hAnsi="方正小标宋简体" w:eastAsia="方正小标宋简体" w:cs="Times New Roman"/>
          <w:spacing w:val="-6"/>
          <w:kern w:val="0"/>
          <w:sz w:val="44"/>
          <w:szCs w:val="18"/>
          <w:lang w:val="en-US" w:eastAsia="zh-CN" w:bidi="ar-SA"/>
        </w:rPr>
      </w:pPr>
      <w:bookmarkStart w:id="1" w:name="quanwen"/>
      <w:r>
        <w:rPr>
          <w:rFonts w:hint="eastAsia" w:ascii="方正小标宋简体" w:hAnsi="方正小标宋简体" w:eastAsia="方正小标宋简体" w:cs="Times New Roman"/>
          <w:spacing w:val="-11"/>
          <w:kern w:val="0"/>
          <w:sz w:val="44"/>
          <w:szCs w:val="18"/>
          <w:lang w:val="en-US" w:eastAsia="zh-CN" w:bidi="ar-SA"/>
        </w:rPr>
        <w:t>关</w:t>
      </w:r>
      <w:r>
        <w:rPr>
          <w:rFonts w:hint="eastAsia" w:ascii="方正小标宋简体" w:hAnsi="方正小标宋简体" w:eastAsia="方正小标宋简体" w:cs="Times New Roman"/>
          <w:b w:val="0"/>
          <w:bCs w:val="0"/>
          <w:spacing w:val="-11"/>
          <w:kern w:val="0"/>
          <w:sz w:val="44"/>
          <w:szCs w:val="18"/>
          <w:lang w:val="en-US" w:eastAsia="zh-CN" w:bidi="ar-SA"/>
        </w:rPr>
        <w:t>于</w:t>
      </w:r>
      <w:r>
        <w:rPr>
          <w:rFonts w:hint="eastAsia" w:ascii="方正小标宋简体" w:hAnsi="方正小标宋简体" w:eastAsia="方正小标宋简体" w:cs="Times New Roman"/>
          <w:spacing w:val="-11"/>
          <w:kern w:val="0"/>
          <w:sz w:val="44"/>
          <w:szCs w:val="18"/>
          <w:lang w:val="en-US" w:eastAsia="zh-CN" w:bidi="ar-SA"/>
        </w:rPr>
        <w:t>对</w:t>
      </w:r>
      <w:r>
        <w:rPr>
          <w:rFonts w:hint="default" w:ascii="方正小标宋简体" w:hAnsi="方正小标宋简体" w:eastAsia="方正小标宋简体" w:cs="Times New Roman"/>
          <w:spacing w:val="-11"/>
          <w:kern w:val="0"/>
          <w:sz w:val="44"/>
          <w:szCs w:val="18"/>
          <w:lang w:val="en-US" w:eastAsia="zh-CN" w:bidi="ar-SA"/>
        </w:rPr>
        <w:t>广州</w:t>
      </w:r>
      <w:r>
        <w:rPr>
          <w:rFonts w:hint="eastAsia" w:ascii="方正小标宋简体" w:hAnsi="方正小标宋简体" w:eastAsia="方正小标宋简体" w:cs="Times New Roman"/>
          <w:spacing w:val="-6"/>
          <w:kern w:val="0"/>
          <w:sz w:val="44"/>
          <w:szCs w:val="18"/>
          <w:lang w:val="en-US" w:eastAsia="zh-CN" w:bidi="ar-SA"/>
        </w:rPr>
        <w:t>问美企业管理咨询合伙企业（有限</w:t>
      </w:r>
    </w:p>
    <w:p>
      <w:pPr>
        <w:widowControl w:val="0"/>
        <w:pBdr>
          <w:bottom w:val="none" w:color="auto" w:sz="0" w:space="0"/>
        </w:pBdr>
        <w:tabs>
          <w:tab w:val="left" w:pos="420"/>
        </w:tabs>
        <w:overflowPunct w:val="0"/>
        <w:adjustRightInd w:val="0"/>
        <w:snapToGrid w:val="0"/>
        <w:spacing w:afterLines="0" w:line="240" w:lineRule="auto"/>
        <w:jc w:val="center"/>
        <w:rPr>
          <w:rFonts w:hint="eastAsia" w:ascii="方正小标宋简体" w:hAnsi="方正小标宋简体" w:eastAsia="方正小标宋简体" w:cs="Times New Roman"/>
          <w:spacing w:val="-11"/>
          <w:kern w:val="0"/>
          <w:sz w:val="44"/>
          <w:szCs w:val="18"/>
          <w:lang w:val="en-US" w:eastAsia="zh-CN" w:bidi="ar-SA"/>
        </w:rPr>
      </w:pPr>
      <w:r>
        <w:rPr>
          <w:rFonts w:hint="eastAsia" w:ascii="方正小标宋简体" w:hAnsi="方正小标宋简体" w:eastAsia="方正小标宋简体" w:cs="Times New Roman"/>
          <w:spacing w:val="-6"/>
          <w:kern w:val="0"/>
          <w:sz w:val="44"/>
          <w:szCs w:val="18"/>
          <w:lang w:val="en-US" w:eastAsia="zh-CN" w:bidi="ar-SA"/>
        </w:rPr>
        <w:t>合伙）、黄招标</w:t>
      </w:r>
      <w:r>
        <w:rPr>
          <w:rFonts w:hint="eastAsia" w:ascii="方正小标宋简体" w:hAnsi="方正小标宋简体" w:eastAsia="方正小标宋简体" w:cs="Times New Roman"/>
          <w:spacing w:val="-11"/>
          <w:kern w:val="0"/>
          <w:sz w:val="44"/>
          <w:szCs w:val="18"/>
          <w:lang w:val="en-US" w:eastAsia="zh-CN" w:bidi="ar-SA"/>
        </w:rPr>
        <w:t>采取责令改正措施的决定</w:t>
      </w:r>
    </w:p>
    <w:p>
      <w:pPr>
        <w:overflowPunct w:val="0"/>
        <w:adjustRightInd w:val="0"/>
        <w:snapToGrid w:val="0"/>
        <w:spacing w:afterLines="0" w:line="240" w:lineRule="auto"/>
        <w:rPr>
          <w:rFonts w:hint="eastAsia" w:ascii="方正小标宋简体" w:hAnsi="方正小标宋简体" w:eastAsia="方正小标宋简体" w:cs="方正小标宋简体"/>
          <w:spacing w:val="8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300" w:lineRule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广州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问美企业管理咨询合伙企业（有限合伙）、黄招标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Lines="0" w:after="0" w:afterLines="0" w:line="300" w:lineRule="auto"/>
        <w:ind w:left="0" w:leftChars="0" w:right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kern w:val="0"/>
          <w:sz w:val="32"/>
          <w:szCs w:val="32"/>
          <w:lang w:val="en-US" w:eastAsia="zh-CN"/>
        </w:rPr>
        <w:t>经查，我局发现你们存在以下违规行为：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 w:val="0"/>
        <w:spacing w:beforeLines="0" w:afterLines="0" w:line="300" w:lineRule="auto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  <w:highlight w:val="yellow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2021年4月,金发拉比妇婴童用品股份有限公司（以下简称*ST金比或公司）与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广州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问美企业管理咨询合伙企业（有限合伙）（以下简称问美合伙）签订协议，以2.38亿元现金收购其持有的广东韩妃医院投资有限公司（以下简称韩妃投资）36%股权，问美合伙、韩妃投资实控人为黄招标。问美合伙、黄招标承诺韩妃投资2021年、2022年净利润不低于0.5亿元、0.6亿元</w:t>
      </w:r>
      <w:r>
        <w:rPr>
          <w:rFonts w:hint="eastAsia" w:ascii="仿宋_GB2312" w:hAnsi="仿宋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Lines="0" w:after="0" w:afterLines="0" w:line="300" w:lineRule="auto"/>
        <w:ind w:left="0" w:leftChars="0" w:right="0" w:firstLine="640" w:firstLineChars="0"/>
        <w:jc w:val="both"/>
        <w:textAlignment w:val="auto"/>
        <w:outlineLvl w:val="9"/>
        <w:rPr>
          <w:rFonts w:hint="eastAsia" w:ascii="仿宋_GB2312" w:hAnsi="Calibri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Calibri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2022年6月，*ST金比与问美合伙、黄招标签订补充协议，调整相关业绩承诺，约定若韩妃投资2021年、2022年未达业绩承诺，则承诺韩妃投资2023年、2024年净利润不低于0.78亿元、0.85亿元。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Lines="0" w:after="0" w:afterLines="0" w:line="300" w:lineRule="auto"/>
        <w:ind w:left="0" w:leftChars="0" w:right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韩妃投资2021年至2024年净利润均未实现业绩承诺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Lines="0" w:after="0" w:afterLines="0" w:line="300" w:lineRule="auto"/>
        <w:ind w:left="0" w:leftChars="0" w:right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你们作为业绩补偿承诺人，未能按照公开披露的信息及时履行业绩补偿承诺</w:t>
      </w:r>
      <w:r>
        <w:rPr>
          <w:rFonts w:hint="eastAsia" w:ascii="仿宋_GB2312" w:hAnsi="仿宋_GB2312" w:eastAsia="仿宋_GB2312" w:cs="Times New Roman"/>
          <w:kern w:val="0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Times New Roman"/>
          <w:kern w:val="0"/>
          <w:sz w:val="32"/>
          <w:szCs w:val="32"/>
          <w:lang w:eastAsia="zh-CN"/>
        </w:rPr>
        <w:t>构成了</w:t>
      </w:r>
      <w:r>
        <w:rPr>
          <w:rFonts w:hint="eastAsia" w:ascii="仿宋_GB2312" w:hAnsi="仿宋_GB2312" w:eastAsia="仿宋_GB2312" w:cs="Times New Roman"/>
          <w:kern w:val="0"/>
          <w:sz w:val="32"/>
          <w:szCs w:val="32"/>
          <w:lang w:val="en-US" w:eastAsia="zh-CN"/>
        </w:rPr>
        <w:t>《上市公司监管指引第4号——上市公司及</w:t>
      </w:r>
      <w:r>
        <w:rPr>
          <w:rFonts w:hint="default" w:ascii="仿宋_GB2312" w:hAnsi="仿宋_GB2312" w:eastAsia="仿宋_GB2312" w:cs="Times New Roman"/>
          <w:kern w:val="0"/>
          <w:sz w:val="32"/>
          <w:szCs w:val="32"/>
          <w:lang w:eastAsia="zh-CN"/>
        </w:rPr>
        <w:t>其</w:t>
      </w:r>
      <w:r>
        <w:rPr>
          <w:rFonts w:hint="eastAsia" w:ascii="仿宋_GB2312" w:hAnsi="仿宋_GB2312" w:eastAsia="仿宋_GB2312" w:cs="Times New Roman"/>
          <w:kern w:val="0"/>
          <w:sz w:val="32"/>
          <w:szCs w:val="32"/>
          <w:lang w:val="en-US" w:eastAsia="zh-CN"/>
        </w:rPr>
        <w:t>相关方承诺》（证监会公告〔2022〕16号</w:t>
      </w:r>
      <w:r>
        <w:rPr>
          <w:rFonts w:hint="default" w:ascii="仿宋_GB2312" w:hAnsi="仿宋_GB2312" w:eastAsia="仿宋_GB2312" w:cs="Times New Roman"/>
          <w:kern w:val="0"/>
          <w:sz w:val="32"/>
          <w:szCs w:val="32"/>
          <w:lang w:eastAsia="zh-CN"/>
        </w:rPr>
        <w:t>，下同</w:t>
      </w:r>
      <w:r>
        <w:rPr>
          <w:rFonts w:hint="eastAsia" w:ascii="仿宋_GB2312" w:hAnsi="仿宋_GB2312" w:eastAsia="仿宋_GB2312" w:cs="Times New Roman"/>
          <w:kern w:val="0"/>
          <w:sz w:val="32"/>
          <w:szCs w:val="32"/>
          <w:lang w:val="en-US" w:eastAsia="zh-CN"/>
        </w:rPr>
        <w:t>）第十五条</w:t>
      </w:r>
      <w:r>
        <w:rPr>
          <w:rFonts w:hint="default" w:ascii="仿宋_GB2312" w:hAnsi="仿宋_GB2312" w:eastAsia="仿宋_GB2312" w:cs="Times New Roman"/>
          <w:kern w:val="0"/>
          <w:sz w:val="32"/>
          <w:szCs w:val="32"/>
          <w:lang w:eastAsia="zh-CN"/>
        </w:rPr>
        <w:t>第一款规定的违反承诺的行为</w:t>
      </w:r>
      <w:r>
        <w:rPr>
          <w:rFonts w:hint="eastAsia" w:ascii="仿宋_GB2312" w:hAnsi="仿宋_GB2312" w:eastAsia="仿宋_GB2312" w:cs="Times New Roman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Lines="0" w:after="0" w:afterLines="0" w:line="300" w:lineRule="auto"/>
        <w:ind w:left="0" w:leftChars="0" w:right="0" w:firstLine="640" w:firstLineChars="0"/>
        <w:jc w:val="both"/>
        <w:textAlignment w:val="auto"/>
        <w:outlineLvl w:val="9"/>
        <w:rPr>
          <w:rFonts w:hint="default" w:ascii="Calibri" w:hAnsi="Calibri" w:eastAsia="宋体" w:cs="Times New Roman"/>
          <w:spacing w:val="6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kern w:val="0"/>
          <w:sz w:val="32"/>
          <w:szCs w:val="32"/>
          <w:lang w:val="en-US" w:eastAsia="zh-CN"/>
        </w:rPr>
        <w:t>根据</w:t>
      </w:r>
      <w:r>
        <w:rPr>
          <w:rFonts w:hint="eastAsia" w:ascii="仿宋_GB2312" w:hAnsi="仿宋_GB2312" w:eastAsia="仿宋_GB2312" w:cs="Times New Roman"/>
          <w:color w:val="000000"/>
          <w:kern w:val="0"/>
          <w:sz w:val="32"/>
          <w:szCs w:val="32"/>
          <w:highlight w:val="none"/>
          <w:shd w:val="clear"/>
          <w:lang w:val="en-US" w:eastAsia="zh-CN" w:bidi="ar-SA"/>
        </w:rPr>
        <w:t>《中华人民共和国证券法》第一百七十条第二款、</w:t>
      </w:r>
      <w:r>
        <w:rPr>
          <w:rFonts w:hint="eastAsia" w:ascii="仿宋_GB2312" w:hAnsi="仿宋_GB2312" w:eastAsia="仿宋_GB2312" w:cs="Times New Roman"/>
          <w:kern w:val="0"/>
          <w:sz w:val="32"/>
          <w:szCs w:val="32"/>
          <w:lang w:val="en-US" w:eastAsia="zh-CN"/>
        </w:rPr>
        <w:t>《上市公司监管指引第4号——上市公司及</w:t>
      </w:r>
      <w:r>
        <w:rPr>
          <w:rFonts w:hint="default" w:ascii="仿宋_GB2312" w:hAnsi="仿宋_GB2312" w:eastAsia="仿宋_GB2312" w:cs="Times New Roman"/>
          <w:kern w:val="0"/>
          <w:sz w:val="32"/>
          <w:szCs w:val="32"/>
          <w:lang w:eastAsia="zh-CN"/>
        </w:rPr>
        <w:t>其</w:t>
      </w:r>
      <w:r>
        <w:rPr>
          <w:rFonts w:hint="eastAsia" w:ascii="仿宋_GB2312" w:hAnsi="仿宋_GB2312" w:eastAsia="仿宋_GB2312" w:cs="Times New Roman"/>
          <w:kern w:val="0"/>
          <w:sz w:val="32"/>
          <w:szCs w:val="32"/>
          <w:lang w:val="en-US" w:eastAsia="zh-CN"/>
        </w:rPr>
        <w:t>相关方承诺》第十七条的规定，我局决定对你们采取责令改正的监管措施。你们应高度重视上述问题，切实履行承诺，采取有效措施落实整改</w:t>
      </w:r>
      <w:r>
        <w:rPr>
          <w:rFonts w:hint="default" w:ascii="仿宋_GB2312" w:hAnsi="仿宋_GB2312" w:eastAsia="仿宋_GB2312" w:cs="Times New Roman"/>
          <w:kern w:val="0"/>
          <w:sz w:val="32"/>
          <w:szCs w:val="32"/>
          <w:lang w:eastAsia="zh-CN"/>
        </w:rPr>
        <w:t>,</w:t>
      </w:r>
      <w:r>
        <w:rPr>
          <w:rFonts w:hint="eastAsia" w:ascii="仿宋_GB2312" w:hAnsi="仿宋_GB2312" w:eastAsia="仿宋_GB2312" w:cs="Times New Roman"/>
          <w:kern w:val="0"/>
          <w:sz w:val="32"/>
          <w:szCs w:val="32"/>
          <w:lang w:val="en-US" w:eastAsia="zh-CN"/>
        </w:rPr>
        <w:t>在收到本决定书之日起30日内向我局报送整改报告，并抄报深圳证券交易所。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324" w:lineRule="auto"/>
        <w:ind w:firstLine="640"/>
        <w:jc w:val="both"/>
        <w:textAlignment w:val="auto"/>
        <w:outlineLvl w:val="9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  <w:t>如果对本监督管理措施不服，可以在收到本决定书之日起60日内向中国证券监督管理委员会提出行政复议申请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  <w:t>也可以在收到本决定书之日起6个月内向有管辖权的人民法院提起诉讼。复议与诉讼期间，上述监督管理措施不停止执行。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ascii="宋体" w:hAnsi="宋体" w:eastAsia="宋体" w:cs="宋体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ascii="宋体" w:hAnsi="宋体" w:eastAsia="宋体" w:cs="宋体"/>
          <w:color w:val="000000"/>
          <w:sz w:val="28"/>
          <w:szCs w:val="28"/>
        </w:rPr>
      </w:pPr>
    </w:p>
    <w:p>
      <w:pPr>
        <w:overflowPunct w:val="0"/>
        <w:adjustRightInd w:val="0"/>
        <w:snapToGrid w:val="0"/>
        <w:spacing w:line="360" w:lineRule="auto"/>
        <w:ind w:right="1705"/>
        <w:jc w:val="right"/>
        <w:rPr>
          <w:rFonts w:hint="eastAsia" w:ascii="仿宋_GB2312" w:hAnsi="Times New Roman" w:eastAsia="仿宋_GB2312" w:cs="Times New Roman"/>
          <w:color w:val="000000"/>
          <w:sz w:val="32"/>
          <w:szCs w:val="24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24"/>
        </w:rPr>
        <w:t>广东证监局</w:t>
      </w:r>
    </w:p>
    <w:p>
      <w:pPr>
        <w:numPr>
          <w:ilvl w:val="0"/>
          <w:numId w:val="0"/>
        </w:numPr>
        <w:pBdr>
          <w:top w:val="none" w:color="auto" w:sz="0" w:space="0"/>
          <w:bottom w:val="none" w:color="auto" w:sz="0" w:space="0"/>
        </w:pBdr>
        <w:overflowPunct w:val="0"/>
        <w:adjustRightInd w:val="0"/>
        <w:snapToGrid w:val="0"/>
        <w:spacing w:beforeLines="0" w:afterLines="0" w:line="360" w:lineRule="auto"/>
        <w:jc w:val="center"/>
        <w:outlineLvl w:val="9"/>
        <w:rPr>
          <w:rFonts w:ascii="Calibri" w:hAnsi="Calibri" w:eastAsia="宋体" w:cs="Times New Roman"/>
          <w:szCs w:val="24"/>
        </w:rPr>
      </w:pPr>
      <w:r>
        <w:rPr>
          <w:rFonts w:hint="eastAsia" w:ascii="仿宋_GB2312" w:hAnsi="Times New Roman" w:eastAsia="仿宋_GB2312" w:cs="Times New Roman"/>
          <w:color w:val="000000"/>
          <w:spacing w:val="1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    </w:t>
      </w:r>
      <w:r>
        <w:rPr>
          <w:rFonts w:hint="default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eastAsia="zh-CN"/>
        </w:rPr>
        <w:t>2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>02</w:t>
      </w:r>
      <w:r>
        <w:rPr>
          <w:rFonts w:hint="default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年</w:t>
      </w:r>
      <w:r>
        <w:rPr>
          <w:rFonts w:hint="default" w:ascii="仿宋_GB2312" w:hAnsi="Calibri" w:eastAsia="仿宋_GB2312" w:cs="Times New Roman"/>
          <w:color w:val="000000"/>
          <w:spacing w:val="10"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月</w:t>
      </w:r>
      <w:r>
        <w:rPr>
          <w:rFonts w:hint="default" w:ascii="仿宋_GB2312" w:hAnsi="Calibri" w:eastAsia="宋体" w:cs="Times New Roman"/>
          <w:color w:val="000000"/>
          <w:spacing w:val="10"/>
          <w:sz w:val="32"/>
          <w:szCs w:val="32"/>
          <w:lang w:val="en-US" w:eastAsia="zh-CN"/>
        </w:rPr>
        <w:t>1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日</w:t>
      </w:r>
    </w:p>
    <w:p>
      <w:pPr>
        <w:snapToGrid w:val="0"/>
        <w:spacing w:line="300" w:lineRule="auto"/>
        <w:ind w:right="26"/>
        <w:jc w:val="left"/>
        <w:rPr>
          <w:rFonts w:hint="eastAsia" w:ascii="黑体" w:hAnsi="Calibri" w:eastAsia="黑体" w:cs="Times New Roman"/>
          <w:spacing w:val="8"/>
          <w:sz w:val="40"/>
          <w:szCs w:val="32"/>
        </w:rPr>
      </w:pPr>
    </w:p>
    <w:p>
      <w:pPr>
        <w:keepNext w:val="0"/>
        <w:keepLines w:val="0"/>
        <w:pageBreakBefore w:val="0"/>
        <w:widowControl w:val="0"/>
        <w:pBdr>
          <w:top w:val="single" w:color="auto" w:sz="8" w:space="6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9" w:afterLines="35"/>
        <w:ind w:firstLine="296" w:firstLineChars="100"/>
        <w:textAlignment w:val="auto"/>
        <w:rPr>
          <w:rFonts w:hint="eastAsia" w:ascii="仿宋_GB2312" w:hAnsi="Calibri" w:eastAsia="仿宋_GB2312" w:cs="Times New Roman"/>
          <w:spacing w:val="8"/>
          <w:sz w:val="28"/>
          <w:szCs w:val="24"/>
          <w:lang w:eastAsia="zh-CN"/>
        </w:rPr>
      </w:pPr>
      <w:r>
        <w:rPr>
          <w:rFonts w:hint="eastAsia" w:ascii="仿宋_GB2312" w:hAnsi="Calibri" w:eastAsia="仿宋_GB2312" w:cs="Times New Roman"/>
          <w:spacing w:val="8"/>
          <w:sz w:val="28"/>
          <w:szCs w:val="24"/>
        </w:rPr>
        <w:t>抄送：证监会上市司、法治司；深圳证券交易所</w:t>
      </w:r>
      <w:r>
        <w:rPr>
          <w:rFonts w:hint="eastAsia" w:ascii="仿宋_GB2312" w:hAnsi="Calibri" w:eastAsia="仿宋_GB2312" w:cs="Times New Roman"/>
          <w:spacing w:val="8"/>
          <w:sz w:val="28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pBdr>
          <w:top w:val="single" w:color="auto" w:sz="8" w:space="6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9" w:afterLines="35"/>
        <w:ind w:firstLine="1184" w:firstLineChars="400"/>
        <w:textAlignment w:val="auto"/>
        <w:rPr>
          <w:rFonts w:ascii="长城仿宋" w:hAnsi="Calibri" w:eastAsia="长城仿宋" w:cs="Times New Roman"/>
          <w:sz w:val="28"/>
          <w:szCs w:val="24"/>
        </w:rPr>
      </w:pPr>
      <w:r>
        <w:rPr>
          <w:rFonts w:hint="eastAsia" w:ascii="仿宋_GB2312" w:hAnsi="Calibri" w:eastAsia="仿宋_GB2312" w:cs="Times New Roman"/>
          <w:spacing w:val="8"/>
          <w:sz w:val="28"/>
          <w:szCs w:val="24"/>
        </w:rPr>
        <w:t>金发拉比妇婴童用品股份有限公司。</w:t>
      </w:r>
    </w:p>
    <w:p>
      <w:pPr>
        <w:keepNext w:val="0"/>
        <w:keepLines w:val="0"/>
        <w:pageBreakBefore w:val="0"/>
        <w:widowControl w:val="0"/>
        <w:pBdr>
          <w:top w:val="single" w:color="auto" w:sz="4" w:space="6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9" w:afterLines="35"/>
        <w:ind w:firstLine="296" w:firstLineChars="100"/>
        <w:jc w:val="left"/>
        <w:textAlignment w:val="auto"/>
        <w:rPr>
          <w:rFonts w:hint="eastAsia" w:ascii="仿宋_GB2312" w:hAnsi="Calibri" w:eastAsia="仿宋_GB2312" w:cs="Times New Roman"/>
          <w:spacing w:val="8"/>
          <w:sz w:val="28"/>
          <w:szCs w:val="24"/>
        </w:rPr>
      </w:pPr>
      <w:r>
        <w:rPr>
          <w:rFonts w:hint="eastAsia" w:ascii="仿宋_GB2312" w:hAnsi="Calibri" w:eastAsia="仿宋_GB2312" w:cs="Times New Roman"/>
          <w:spacing w:val="8"/>
          <w:sz w:val="28"/>
          <w:szCs w:val="24"/>
        </w:rPr>
        <w:t xml:space="preserve">广东证监局办公室             </w:t>
      </w:r>
      <w:r>
        <w:rPr>
          <w:rFonts w:hint="default" w:ascii="仿宋_GB2312" w:hAnsi="Calibri" w:eastAsia="仿宋_GB2312" w:cs="Times New Roman"/>
          <w:spacing w:val="8"/>
          <w:sz w:val="28"/>
          <w:szCs w:val="24"/>
          <w:lang w:val="en-US"/>
        </w:rPr>
        <w:t xml:space="preserve">      </w:t>
      </w:r>
      <w:r>
        <w:rPr>
          <w:rFonts w:hint="eastAsia" w:ascii="仿宋_GB2312" w:hAnsi="Calibri" w:eastAsia="仿宋_GB2312" w:cs="Times New Roman"/>
          <w:spacing w:val="8"/>
          <w:sz w:val="28"/>
          <w:szCs w:val="24"/>
        </w:rPr>
        <w:t xml:space="preserve"> </w:t>
      </w:r>
      <w:r>
        <w:rPr>
          <w:rFonts w:hint="default" w:ascii="仿宋_GB2312" w:hAnsi="Calibri" w:eastAsia="仿宋_GB2312" w:cs="Times New Roman"/>
          <w:spacing w:val="8"/>
          <w:sz w:val="28"/>
          <w:szCs w:val="24"/>
          <w:lang w:val="en" w:eastAsia="zh-CN"/>
        </w:rPr>
        <w:t>2026</w:t>
      </w:r>
      <w:r>
        <w:rPr>
          <w:rFonts w:hint="eastAsia" w:ascii="仿宋_GB2312" w:hAnsi="Calibri" w:eastAsia="仿宋_GB2312" w:cs="Times New Roman"/>
          <w:spacing w:val="8"/>
          <w:sz w:val="28"/>
          <w:szCs w:val="24"/>
        </w:rPr>
        <w:t>年</w:t>
      </w:r>
      <w:r>
        <w:rPr>
          <w:rFonts w:hint="default" w:ascii="仿宋_GB2312" w:hAnsi="Calibri" w:eastAsia="仿宋_GB2312" w:cs="Times New Roman"/>
          <w:spacing w:val="8"/>
          <w:sz w:val="28"/>
          <w:szCs w:val="24"/>
          <w:lang w:val="en-US" w:eastAsia="zh-CN"/>
        </w:rPr>
        <w:t>4</w:t>
      </w:r>
      <w:r>
        <w:rPr>
          <w:rFonts w:hint="eastAsia" w:ascii="仿宋_GB2312" w:hAnsi="Calibri" w:eastAsia="仿宋_GB2312" w:cs="Times New Roman"/>
          <w:spacing w:val="8"/>
          <w:sz w:val="28"/>
          <w:szCs w:val="24"/>
        </w:rPr>
        <w:t>月</w:t>
      </w:r>
      <w:r>
        <w:rPr>
          <w:rFonts w:hint="default" w:ascii="仿宋_GB2312" w:hAnsi="Calibri" w:eastAsia="仿宋_GB2312" w:cs="Times New Roman"/>
          <w:spacing w:val="8"/>
          <w:sz w:val="28"/>
          <w:szCs w:val="24"/>
          <w:lang w:val="en-US" w:eastAsia="zh-CN"/>
        </w:rPr>
        <w:t>1</w:t>
      </w:r>
      <w:r>
        <w:rPr>
          <w:rFonts w:hint="eastAsia" w:ascii="仿宋_GB2312" w:hAnsi="Calibri" w:eastAsia="仿宋_GB2312" w:cs="Times New Roman"/>
          <w:spacing w:val="8"/>
          <w:sz w:val="28"/>
          <w:szCs w:val="24"/>
        </w:rPr>
        <w:t>日印发</w:t>
      </w:r>
    </w:p>
    <w:bookmarkEnd w:id="1"/>
    <w:p>
      <w:pPr>
        <w:keepNext w:val="0"/>
        <w:keepLines w:val="0"/>
        <w:pageBreakBefore w:val="0"/>
        <w:widowControl w:val="0"/>
        <w:pBdr>
          <w:top w:val="single" w:color="auto" w:sz="8" w:space="7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240" w:lineRule="auto"/>
        <w:ind w:firstLine="0"/>
        <w:jc w:val="left"/>
        <w:textAlignment w:val="auto"/>
        <w:rPr>
          <w:rFonts w:hint="eastAsia" w:ascii="仿宋_GB2312" w:hAnsi="Calibri" w:eastAsia="仿宋_GB2312" w:cs="Times New Roman"/>
          <w:spacing w:val="8"/>
          <w:sz w:val="2"/>
          <w:szCs w:val="2"/>
        </w:rPr>
      </w:pPr>
    </w:p>
    <w:sectPr>
      <w:footerReference r:id="rId3" w:type="default"/>
      <w:pgSz w:w="11906" w:h="16838"/>
      <w:pgMar w:top="2097" w:right="1474" w:bottom="1984" w:left="1587" w:header="851" w:footer="1587" w:gutter="0"/>
      <w:pgNumType w:fmt="numberInDash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长城仿宋">
    <w:altName w:val="宋体"/>
    <w:panose1 w:val="02010609000101010101"/>
    <w:charset w:val="00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40" w:lineRule="auto"/>
      <w:rPr>
        <w:rFonts w:hint="eastAsia" w:ascii="宋体" w:hAnsi="宋体" w:eastAsia="宋体" w:cs="宋体"/>
        <w:sz w:val="28"/>
        <w:lang w:val="en-US"/>
      </w:rPr>
    </w:pPr>
    <w:r>
      <w:rPr>
        <w:rFonts w:hint="eastAsia" w:ascii="宋体" w:hAnsi="宋体" w:eastAsia="宋体" w:cs="宋体"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align>top</wp:align>
              </wp:positionV>
              <wp:extent cx="1828800" cy="1828800"/>
              <wp:effectExtent l="4445" t="4445" r="14605" b="14605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height:144pt;width:144pt;mso-position-horizontal:outside;mso-position-horizontal-relative:margin;mso-position-vertical:top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LNJ&#10;WO7QAAAABQEAAA8AAAAAAAAAAQAgAAAAOAAAAGRycy9kb3ducmV2LnhtbFBLAQIUABQAAAAIAIdO&#10;4kCgF26zFQIAABkEAAAOAAAAAAAAAAEAIAAAADU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true"/>
  <w:bordersDoNotSurroundFooter w:val="true"/>
  <w:revisionView w:markup="0"/>
  <w:documentProtection w:edit="readOnly" w:enforcement="0"/>
  <w:defaultTabStop w:val="420"/>
  <w:drawingGridHorizontalSpacing w:val="210"/>
  <w:drawingGridVerticalSpacing w:val="159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B0827"/>
    <w:rsid w:val="376F6C4A"/>
    <w:rsid w:val="4BFD12F7"/>
    <w:rsid w:val="7DBD81E9"/>
    <w:rsid w:val="7F769799"/>
    <w:rsid w:val="7F7FBAF1"/>
    <w:rsid w:val="7FDB0827"/>
    <w:rsid w:val="D4EFC36D"/>
    <w:rsid w:val="FFC7A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NormalIndent"/>
    <w:basedOn w:val="1"/>
    <w:next w:val="1"/>
    <w:qFormat/>
    <w:uiPriority w:val="0"/>
    <w:pPr>
      <w:spacing w:line="240" w:lineRule="auto"/>
      <w:ind w:firstLine="420"/>
      <w:jc w:val="both"/>
      <w:textAlignment w:val="baseline"/>
    </w:pPr>
    <w:rPr>
      <w:rFonts w:ascii="宋体" w:hAnsi="Calibri"/>
      <w:kern w:val="0"/>
      <w:sz w:val="21"/>
      <w:szCs w:val="24"/>
      <w:lang w:val="en-US" w:eastAsia="zh-CN" w:bidi="ar-SA"/>
    </w:rPr>
  </w:style>
  <w:style w:type="paragraph" w:customStyle="1" w:styleId="7">
    <w:name w:val="p0"/>
    <w:basedOn w:val="1"/>
    <w:qFormat/>
    <w:uiPriority w:val="0"/>
    <w:pPr>
      <w:widowControl/>
    </w:pPr>
    <w:rPr>
      <w:rFonts w:hint="eastAsi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771</Words>
  <Characters>836</Characters>
  <Lines>0</Lines>
  <Paragraphs>0</Paragraphs>
  <TotalTime>1</TotalTime>
  <ScaleCrop>false</ScaleCrop>
  <LinksUpToDate>false</LinksUpToDate>
  <CharactersWithSpaces>878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2026-04-01T09:01:00Z</dcterms:created>
  <dc:creator>刘毅：主办人清稿</dc:creator>
  <cp:lastModifiedBy>刘毅：承办人拟稿</cp:lastModifiedBy>
  <dcterms:modified xsi:type="dcterms:W3CDTF">2026-04-03T10:00:30Z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ACD6F6240B4EDB860729CB6904289A5C</vt:lpwstr>
  </property>
</Properties>
</file>